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1" w:rsidRPr="001355D6" w:rsidRDefault="008B49B1" w:rsidP="008B6274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 xml:space="preserve"> ರ ಹಿಂಗಾರು ಹಂಗಾಮಿನಲ್ಲಿ ಮಳೆ ಹಾಗೂ ಕೃಷಿ ಬೆಳೆಗಳ ಬಿತ್ತನೆ ಪ್ರಗತಿ ವಿವರ</w:t>
      </w:r>
    </w:p>
    <w:p w:rsidR="008B49B1" w:rsidRPr="001355D6" w:rsidRDefault="008B49B1" w:rsidP="008B49B1">
      <w:pPr>
        <w:shd w:val="clear" w:color="auto" w:fill="FFFFFF"/>
        <w:spacing w:after="0" w:line="240" w:lineRule="auto"/>
        <w:jc w:val="center"/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(</w:t>
      </w:r>
      <w:r w:rsidR="00A1738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1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5</w:t>
      </w:r>
      <w:r w:rsidR="00684C75"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.1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0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.202</w:t>
      </w:r>
      <w:r w:rsidR="006B3275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8"/>
          <w:szCs w:val="22"/>
          <w:u w:val="single"/>
        </w:rPr>
        <w:t>)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 xml:space="preserve"> ಕೃಷಿ ಉತ್ಪಾದನಾ ಕಾರ್ಯಕ್ರಮ: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ab/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, 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ಹಾಗೂ 5.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0 ಲಕ್ಷ ಹೆಕ್ಟೇರ್, ಒಟ್ಟು 11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54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ಲಕ್ಷ ಹೆಕ್ಟೇರ್ 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148.02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ಮತ್ತು 1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69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ಲಕ್ಷ ಟನ್ ಪ್ರಸ್ತಾಪಿಸಲಾಗಿದೆ.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1F51DB" w:rsidRPr="001355D6" w:rsidTr="00FE4102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ವಿಸ್ತೀರ್ಣ</w:t>
            </w:r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ಉತ್ಪಾದನೆ</w:t>
            </w:r>
          </w:p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(ಲಕ್ಷ ಟನ್)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50.45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123.06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35.14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24.96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85.59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148.02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12.69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 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7.70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18.75 </w:t>
            </w:r>
            <w:r w:rsidR="001F51DB"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ಲಕ್ಷ ಬೇಲ್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7.87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74745F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403.57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0.75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>0.66</w:t>
            </w: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color w:val="000000" w:themeColor="text1"/>
                <w:szCs w:val="22"/>
                <w:lang w:val="en-US" w:eastAsia="en-US" w:bidi="ar-SA"/>
              </w:rPr>
            </w:pPr>
          </w:p>
        </w:tc>
      </w:tr>
      <w:tr w:rsidR="001F51DB" w:rsidRPr="001355D6" w:rsidTr="00FE4102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 w:rsidRPr="001355D6"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  <w:t>114.54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color w:val="000000" w:themeColor="text1"/>
                <w:szCs w:val="22"/>
                <w:lang w:val="en-US" w:eastAsia="en-US" w:bidi="ar-SA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202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ರ ಮುಂಗಾರು ಹಂಗಾಮಿನ ಕೃಷಿ ಉತ್ಪಾದನಾ ಕಾರ್ಯಕ್ರಮದ ಸಾಧನೆ: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ಸಾಲಿನ ಮುಂಗಾರು ಹಂಗಾಮಿನಲ್ಲಿ ವಿವಿಧ ಕೃಷಿ ಬೆಳೆಗಳನ್ನು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82.67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ಲಕ್ಷ ಹೆಕ್ಟೇರ್ ವಿಸ್ತೀರ್ಣದಲ್ಲಿ ಬಿತ್ತನೆ ಕೈಗೊಳ್ಳುವ ಗುರಿಯನ್ನು 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ಹಮ್ಮಿಕೊಳ್ಳಲಾಗಿದ್ದು, ಅದರಂತೆ </w:t>
      </w:r>
      <w:r w:rsidR="006B3275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80.40</w:t>
      </w:r>
      <w:r w:rsidR="00AD4887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ಲಕ್ಷ ಹೆಕ್ಟೇರ್ ಗಳಲ್ಲಿ ಸಾಧನೆಯಾಗಿರುತ್ತದೆ.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Cs w:val="22"/>
        </w:rPr>
      </w:pPr>
    </w:p>
    <w:tbl>
      <w:tblPr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393"/>
        <w:gridCol w:w="1417"/>
        <w:gridCol w:w="1560"/>
        <w:gridCol w:w="1853"/>
      </w:tblGrid>
      <w:tr w:rsidR="008B49B1" w:rsidRPr="001355D6" w:rsidTr="001F51DB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ಕ್ರ.ಸಂ.</w:t>
            </w:r>
          </w:p>
        </w:tc>
        <w:tc>
          <w:tcPr>
            <w:tcW w:w="239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ಬೆಳೆ/ಗುಂಪು</w:t>
            </w:r>
          </w:p>
        </w:tc>
        <w:tc>
          <w:tcPr>
            <w:tcW w:w="2977" w:type="dxa"/>
            <w:gridSpan w:val="2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ವಿಸ್ತೀರ್ಣ (ಲಕ್ಷ ಹೆಕ್ಟೇರ್)</w:t>
            </w:r>
          </w:p>
        </w:tc>
        <w:tc>
          <w:tcPr>
            <w:tcW w:w="1853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  (ಲಕ್ಷ ಟನ್)</w:t>
            </w:r>
          </w:p>
        </w:tc>
      </w:tr>
      <w:tr w:rsidR="008B49B1" w:rsidRPr="001355D6" w:rsidTr="001F51DB"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9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</w:p>
        </w:tc>
        <w:tc>
          <w:tcPr>
            <w:tcW w:w="1560" w:type="dxa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</w:p>
        </w:tc>
        <w:tc>
          <w:tcPr>
            <w:tcW w:w="1853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 ಧಾನ್ಯಗಳು</w:t>
            </w:r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35.98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33.69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97.61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 ಧಾನ್ಯಗಳು</w:t>
            </w:r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22.77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20.39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17.19</w:t>
            </w:r>
          </w:p>
        </w:tc>
      </w:tr>
      <w:tr w:rsidR="008B49B1" w:rsidRPr="001355D6" w:rsidTr="001F51DB">
        <w:tc>
          <w:tcPr>
            <w:tcW w:w="3289" w:type="dxa"/>
            <w:gridSpan w:val="2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 ಆಹಾರ ಧಾನ್ಯಗಳು</w:t>
            </w:r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58.75</w:t>
            </w:r>
          </w:p>
        </w:tc>
        <w:tc>
          <w:tcPr>
            <w:tcW w:w="1560" w:type="dxa"/>
          </w:tcPr>
          <w:p w:rsidR="008B49B1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54.08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114.80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</w:p>
        </w:tc>
        <w:tc>
          <w:tcPr>
            <w:tcW w:w="1417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9.37</w:t>
            </w:r>
          </w:p>
        </w:tc>
        <w:tc>
          <w:tcPr>
            <w:tcW w:w="1560" w:type="dxa"/>
          </w:tcPr>
          <w:p w:rsidR="008B49B1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10.11</w:t>
            </w:r>
          </w:p>
        </w:tc>
        <w:tc>
          <w:tcPr>
            <w:tcW w:w="1853" w:type="dxa"/>
          </w:tcPr>
          <w:p w:rsidR="008B49B1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8.70</w:t>
            </w:r>
          </w:p>
        </w:tc>
      </w:tr>
      <w:tr w:rsidR="008B49B1" w:rsidRPr="001355D6" w:rsidTr="001F51DB">
        <w:tc>
          <w:tcPr>
            <w:tcW w:w="896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393" w:type="dxa"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 ಬೆಳೆಗಳು</w:t>
            </w:r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560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853" w:type="dxa"/>
          </w:tcPr>
          <w:p w:rsidR="008B49B1" w:rsidRPr="001355D6" w:rsidRDefault="008B49B1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7.28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8.25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18.42</w:t>
            </w:r>
            <w:r w:rsidR="00360A60"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 xml:space="preserve"> </w:t>
            </w:r>
            <w:r w:rsidR="00360A60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 ಬೇಲ್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6.51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7.18</w:t>
            </w:r>
          </w:p>
        </w:tc>
        <w:tc>
          <w:tcPr>
            <w:tcW w:w="1853" w:type="dxa"/>
          </w:tcPr>
          <w:p w:rsidR="001F51DB" w:rsidRPr="001355D6" w:rsidRDefault="006B3275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377.99</w:t>
            </w:r>
          </w:p>
        </w:tc>
      </w:tr>
      <w:tr w:rsidR="001F51DB" w:rsidRPr="001355D6" w:rsidTr="001F51DB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393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0.75</w:t>
            </w:r>
          </w:p>
        </w:tc>
        <w:tc>
          <w:tcPr>
            <w:tcW w:w="1560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0.78</w:t>
            </w:r>
          </w:p>
        </w:tc>
        <w:tc>
          <w:tcPr>
            <w:tcW w:w="1853" w:type="dxa"/>
          </w:tcPr>
          <w:p w:rsidR="001F51DB" w:rsidRPr="001355D6" w:rsidRDefault="00360A60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0.6</w:t>
            </w:r>
            <w:r w:rsidR="006B3275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6</w:t>
            </w:r>
          </w:p>
        </w:tc>
      </w:tr>
      <w:tr w:rsidR="001F51DB" w:rsidRPr="001355D6" w:rsidTr="001F51DB">
        <w:tc>
          <w:tcPr>
            <w:tcW w:w="3289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 ವಿಸ್ತೀರ್ಣ</w:t>
            </w:r>
          </w:p>
        </w:tc>
        <w:tc>
          <w:tcPr>
            <w:tcW w:w="1417" w:type="dxa"/>
          </w:tcPr>
          <w:p w:rsidR="001F51DB" w:rsidRPr="001355D6" w:rsidRDefault="006B3275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82.67</w:t>
            </w:r>
          </w:p>
        </w:tc>
        <w:tc>
          <w:tcPr>
            <w:tcW w:w="1560" w:type="dxa"/>
          </w:tcPr>
          <w:p w:rsidR="001F51DB" w:rsidRPr="001355D6" w:rsidRDefault="00F66C9E" w:rsidP="003312B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80.40</w:t>
            </w:r>
          </w:p>
        </w:tc>
        <w:tc>
          <w:tcPr>
            <w:tcW w:w="1853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lastRenderedPageBreak/>
        <w:t>202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 xml:space="preserve"> ರ ಹಿಂಗಾರು ಹಂಗಾಮಿನ ಕೃಷಿ ಉತ್ಪಾದನಾ ಕಾರ್ಯಕ್ರಮ:</w:t>
      </w:r>
    </w:p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1355D6" w:rsidRDefault="008B49B1" w:rsidP="008B6274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  <w:t>202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ನೇ ಸಾಲಿನ ಹಿಂಗಾರು ಹಂಗಾಮಿನಲ್ಲಿ ವಿವಿಧ ಕೃಷಿ ಬೆಳೆಗಳನ್ನು </w:t>
      </w:r>
      <w:r w:rsidR="00F66C9E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26.68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ಲಕ್ಷ ಹೆಕ್ಟೇರ್ ವಿಸ್ತೀರ್ಣದಲ್ಲಿ ಬಿತ್ತನೆ ಕೈಗೊಳ್ಳುವ ಗುರಿಯನ್ನು </w:t>
      </w:r>
      <w:r w:rsidR="00317436"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ಹಮ್ಮಿಕೊಳ್ಳಲಾಗಿತ್ತು</w:t>
      </w:r>
      <w:r w:rsidRPr="001355D6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.</w:t>
      </w:r>
    </w:p>
    <w:p w:rsidR="008B49B1" w:rsidRPr="001355D6" w:rsidRDefault="008B49B1" w:rsidP="008B49B1">
      <w:pPr>
        <w:shd w:val="clear" w:color="auto" w:fill="FFFFFF"/>
        <w:spacing w:after="0" w:line="240" w:lineRule="auto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6"/>
        <w:gridCol w:w="2251"/>
        <w:gridCol w:w="1418"/>
        <w:gridCol w:w="1417"/>
        <w:gridCol w:w="2046"/>
      </w:tblGrid>
      <w:tr w:rsidR="008B49B1" w:rsidRPr="001355D6" w:rsidTr="00886384">
        <w:tc>
          <w:tcPr>
            <w:tcW w:w="89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ಕ್ರ.ಸಂ.</w:t>
            </w:r>
          </w:p>
        </w:tc>
        <w:tc>
          <w:tcPr>
            <w:tcW w:w="2251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ಬೆಳೆ/ಗುಂಪು</w:t>
            </w:r>
          </w:p>
        </w:tc>
        <w:tc>
          <w:tcPr>
            <w:tcW w:w="2835" w:type="dxa"/>
            <w:gridSpan w:val="2"/>
            <w:vAlign w:val="center"/>
          </w:tcPr>
          <w:p w:rsidR="008B49B1" w:rsidRPr="001355D6" w:rsidRDefault="008B49B1" w:rsidP="00617F62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 xml:space="preserve">ವಿಸ್ತೀರ್ಣ (ಲಕ್ಷ ಹೆಕ್ಟೇರ್) </w:t>
            </w:r>
          </w:p>
        </w:tc>
        <w:tc>
          <w:tcPr>
            <w:tcW w:w="2046" w:type="dxa"/>
            <w:vMerge w:val="restart"/>
            <w:vAlign w:val="center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ಉತ್ಪಾದನೆ            (ಲಕ್ಷ ಟನ್)</w:t>
            </w:r>
          </w:p>
        </w:tc>
      </w:tr>
      <w:tr w:rsidR="008B49B1" w:rsidRPr="001355D6" w:rsidTr="00502793">
        <w:trPr>
          <w:trHeight w:val="514"/>
        </w:trPr>
        <w:tc>
          <w:tcPr>
            <w:tcW w:w="89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251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ಗುರಿ</w:t>
            </w:r>
          </w:p>
        </w:tc>
        <w:tc>
          <w:tcPr>
            <w:tcW w:w="1417" w:type="dxa"/>
          </w:tcPr>
          <w:p w:rsidR="008B49B1" w:rsidRPr="001355D6" w:rsidRDefault="008B49B1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ಸಾಧನೆ</w:t>
            </w:r>
          </w:p>
        </w:tc>
        <w:tc>
          <w:tcPr>
            <w:tcW w:w="2046" w:type="dxa"/>
            <w:vMerge/>
          </w:tcPr>
          <w:p w:rsidR="008B49B1" w:rsidRPr="001355D6" w:rsidRDefault="008B49B1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ಏಕದಳ ಧಾನ್ಯಗಳು</w:t>
            </w:r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11.15</w:t>
            </w:r>
          </w:p>
        </w:tc>
        <w:tc>
          <w:tcPr>
            <w:tcW w:w="1417" w:type="dxa"/>
          </w:tcPr>
          <w:p w:rsidR="001F51DB" w:rsidRPr="001355D6" w:rsidRDefault="005C38FC" w:rsidP="003C01CE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1.56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14.67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ದ್ವಿದಳ ಧಾನ್ಯಗಳು</w:t>
            </w:r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12.22</w:t>
            </w:r>
          </w:p>
        </w:tc>
        <w:tc>
          <w:tcPr>
            <w:tcW w:w="1417" w:type="dxa"/>
          </w:tcPr>
          <w:p w:rsidR="001F51DB" w:rsidRPr="001355D6" w:rsidRDefault="005C38FC" w:rsidP="00FD0355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1.51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7.68</w:t>
            </w:r>
          </w:p>
        </w:tc>
      </w:tr>
      <w:tr w:rsidR="001F51DB" w:rsidRPr="001355D6" w:rsidTr="009B2918">
        <w:trPr>
          <w:trHeight w:val="413"/>
        </w:trPr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 ಆಹಾರ ಧಾನ್ಯಗಳು</w:t>
            </w:r>
          </w:p>
        </w:tc>
        <w:tc>
          <w:tcPr>
            <w:tcW w:w="1418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23.37</w:t>
            </w:r>
          </w:p>
        </w:tc>
        <w:tc>
          <w:tcPr>
            <w:tcW w:w="1417" w:type="dxa"/>
          </w:tcPr>
          <w:p w:rsidR="001F51DB" w:rsidRPr="001355D6" w:rsidRDefault="005C38FC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2.07</w:t>
            </w:r>
          </w:p>
        </w:tc>
        <w:tc>
          <w:tcPr>
            <w:tcW w:w="2046" w:type="dxa"/>
          </w:tcPr>
          <w:p w:rsidR="001F51DB" w:rsidRPr="001355D6" w:rsidRDefault="00F66C9E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22.35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ಎಣ್ಣೆಕಾಳುಗಳು</w:t>
            </w:r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1.93</w:t>
            </w:r>
          </w:p>
        </w:tc>
        <w:tc>
          <w:tcPr>
            <w:tcW w:w="1417" w:type="dxa"/>
          </w:tcPr>
          <w:p w:rsidR="001F51DB" w:rsidRPr="001355D6" w:rsidRDefault="005C38FC" w:rsidP="006C2C6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0.17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1.40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ವಾಣಿಜ್ಯ ಬೆಳೆಗಳು</w:t>
            </w:r>
          </w:p>
        </w:tc>
        <w:tc>
          <w:tcPr>
            <w:tcW w:w="1418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  <w:tc>
          <w:tcPr>
            <w:tcW w:w="2046" w:type="dxa"/>
          </w:tcPr>
          <w:p w:rsidR="001F51DB" w:rsidRPr="001355D6" w:rsidRDefault="001F51DB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ಹತ್ತಿ</w:t>
            </w:r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0.41</w:t>
            </w:r>
          </w:p>
        </w:tc>
        <w:tc>
          <w:tcPr>
            <w:tcW w:w="1417" w:type="dxa"/>
          </w:tcPr>
          <w:p w:rsidR="001F51DB" w:rsidRPr="001355D6" w:rsidRDefault="005C38FC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 xml:space="preserve">0.30 </w:t>
            </w:r>
            <w:r w:rsidR="001F51DB" w:rsidRPr="001355D6">
              <w:rPr>
                <w:rFonts w:ascii="Nirmala UI" w:hAnsi="Nirmala UI" w:cs="Nirmala UI"/>
                <w:color w:val="000000" w:themeColor="text1"/>
                <w:szCs w:val="22"/>
                <w:lang w:val="en-US" w:eastAsia="en-US" w:bidi="ar-SA"/>
              </w:rPr>
              <w:t>ಲಕ್ಷ ಬೇಲ್</w:t>
            </w:r>
          </w:p>
        </w:tc>
      </w:tr>
      <w:tr w:rsidR="001F51DB" w:rsidRPr="001355D6" w:rsidTr="00886384">
        <w:tc>
          <w:tcPr>
            <w:tcW w:w="896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ii)</w:t>
            </w:r>
          </w:p>
        </w:tc>
        <w:tc>
          <w:tcPr>
            <w:tcW w:w="2251" w:type="dxa"/>
          </w:tcPr>
          <w:p w:rsidR="001F51DB" w:rsidRPr="001355D6" w:rsidRDefault="001F51DB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ಕಬ್ಬು</w:t>
            </w:r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0.97</w:t>
            </w:r>
          </w:p>
        </w:tc>
        <w:tc>
          <w:tcPr>
            <w:tcW w:w="1417" w:type="dxa"/>
          </w:tcPr>
          <w:p w:rsidR="001F51DB" w:rsidRPr="001355D6" w:rsidRDefault="005C38FC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0.01</w:t>
            </w:r>
          </w:p>
        </w:tc>
        <w:tc>
          <w:tcPr>
            <w:tcW w:w="2046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17.01</w:t>
            </w:r>
          </w:p>
        </w:tc>
      </w:tr>
      <w:tr w:rsidR="0074745F" w:rsidRPr="001355D6" w:rsidTr="00886384">
        <w:tc>
          <w:tcPr>
            <w:tcW w:w="896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iii)</w:t>
            </w:r>
          </w:p>
        </w:tc>
        <w:tc>
          <w:tcPr>
            <w:tcW w:w="2251" w:type="dxa"/>
          </w:tcPr>
          <w:p w:rsidR="0074745F" w:rsidRPr="001355D6" w:rsidRDefault="0074745F" w:rsidP="00886384">
            <w:pPr>
              <w:spacing w:after="0" w:line="240" w:lineRule="auto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ತಂಬಾಕು</w:t>
            </w:r>
          </w:p>
        </w:tc>
        <w:tc>
          <w:tcPr>
            <w:tcW w:w="1418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7" w:type="dxa"/>
          </w:tcPr>
          <w:p w:rsidR="0074745F" w:rsidRPr="001355D6" w:rsidRDefault="005C38FC" w:rsidP="00E07103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046" w:type="dxa"/>
          </w:tcPr>
          <w:p w:rsidR="0074745F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color w:val="000000" w:themeColor="text1"/>
                <w:szCs w:val="22"/>
              </w:rPr>
              <w:t>0.00</w:t>
            </w:r>
          </w:p>
        </w:tc>
      </w:tr>
      <w:tr w:rsidR="001F51DB" w:rsidRPr="001355D6" w:rsidTr="00886384">
        <w:tc>
          <w:tcPr>
            <w:tcW w:w="3147" w:type="dxa"/>
            <w:gridSpan w:val="2"/>
          </w:tcPr>
          <w:p w:rsidR="001F51DB" w:rsidRPr="001355D6" w:rsidRDefault="001F51DB" w:rsidP="00886384">
            <w:pPr>
              <w:spacing w:after="0" w:line="240" w:lineRule="auto"/>
              <w:jc w:val="center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 w:rsidRPr="001355D6"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ಒಟ್ಟು ವಿಸ್ತೀರ್ಣ</w:t>
            </w:r>
          </w:p>
        </w:tc>
        <w:tc>
          <w:tcPr>
            <w:tcW w:w="1418" w:type="dxa"/>
          </w:tcPr>
          <w:p w:rsidR="001F51DB" w:rsidRPr="001355D6" w:rsidRDefault="00F66C9E" w:rsidP="00FE4102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26.68</w:t>
            </w:r>
          </w:p>
        </w:tc>
        <w:tc>
          <w:tcPr>
            <w:tcW w:w="1417" w:type="dxa"/>
          </w:tcPr>
          <w:p w:rsidR="001F51DB" w:rsidRPr="001355D6" w:rsidRDefault="005C38FC" w:rsidP="0075161A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  <w:t>2.25</w:t>
            </w:r>
          </w:p>
        </w:tc>
        <w:tc>
          <w:tcPr>
            <w:tcW w:w="2046" w:type="dxa"/>
          </w:tcPr>
          <w:p w:rsidR="001F51DB" w:rsidRPr="001355D6" w:rsidRDefault="001F51DB" w:rsidP="00886384">
            <w:pPr>
              <w:spacing w:after="0" w:line="240" w:lineRule="auto"/>
              <w:jc w:val="right"/>
              <w:rPr>
                <w:rFonts w:ascii="Nirmala UI" w:eastAsia="Arial Unicode MS" w:hAnsi="Nirmala UI" w:cs="Nirmala UI"/>
                <w:b/>
                <w:bCs/>
                <w:color w:val="000000" w:themeColor="text1"/>
                <w:szCs w:val="22"/>
              </w:rPr>
            </w:pPr>
          </w:p>
        </w:tc>
      </w:tr>
    </w:tbl>
    <w:p w:rsidR="008B49B1" w:rsidRPr="001355D6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Cs/>
          <w:color w:val="000000" w:themeColor="text1"/>
          <w:sz w:val="12"/>
          <w:szCs w:val="22"/>
        </w:rPr>
      </w:pPr>
    </w:p>
    <w:p w:rsidR="008B49B1" w:rsidRPr="007D2A2B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ಮಳೆ:</w:t>
      </w:r>
    </w:p>
    <w:p w:rsidR="00E2012D" w:rsidRPr="007D2A2B" w:rsidRDefault="00E2012D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</w:p>
    <w:p w:rsidR="00FC1AFD" w:rsidRPr="005A16B8" w:rsidRDefault="008B49B1" w:rsidP="005A16B8">
      <w:pPr>
        <w:shd w:val="clear" w:color="auto" w:fill="FFFFFF"/>
        <w:spacing w:after="0"/>
        <w:jc w:val="both"/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</w:pPr>
      <w:r w:rsidRPr="007D2A2B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ab/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202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2</w:t>
      </w:r>
      <w:r w:rsidR="007120E9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-2</w:t>
      </w:r>
      <w:r w:rsidR="00854A61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3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ನೇ ಸಾಲಿನ ಹಿಂಗಾರು ಹಂಗಾಮಿನಲ್ಲಿ </w:t>
      </w:r>
      <w:r w:rsidR="005A16B8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ಅಕ್ಟೋಬರ್-1 ರಿಂದ ಅಕ್ಟೋಬರ್-15 </w:t>
      </w:r>
      <w:r w:rsidR="007120E9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5A16B8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ರವರೆಗೆ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ಸಾಮಾನ್ಯ ಮಳೆ </w:t>
      </w:r>
      <w:r w:rsidR="005A16B8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8</w:t>
      </w:r>
      <w:r w:rsidR="00075E92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0 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ಮಿ.ಮೀ. ಪ್ರತಿಯಾಗಿ ವಾಸ್ತವಿಕ ಸರಾಸರಿ ಮಳೆ</w:t>
      </w:r>
      <w:r w:rsidR="00A17386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1</w:t>
      </w:r>
      <w:r w:rsidR="005A16B8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18</w:t>
      </w:r>
      <w:r w:rsidR="00075E92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ಮಿ.ಮೀ. ಆಗಿರುತ್ತದೆ </w:t>
      </w:r>
      <w:r w:rsidR="00903C1B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(</w:t>
      </w:r>
      <w:r w:rsidR="005A16B8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47</w:t>
      </w:r>
      <w:r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%). </w:t>
      </w:r>
      <w:r w:rsid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 xml:space="preserve"> </w:t>
      </w:r>
      <w:r w:rsidR="00FC1AFD" w:rsidRPr="005A16B8">
        <w:rPr>
          <w:rFonts w:ascii="Nirmala UI" w:eastAsia="Arial Unicode MS" w:hAnsi="Nirmala UI" w:cs="Nirmala UI"/>
          <w:bCs/>
          <w:color w:val="000000" w:themeColor="text1"/>
          <w:sz w:val="24"/>
          <w:szCs w:val="22"/>
        </w:rPr>
        <w:t>ಜಿಲ್ಲಾವಾರು ಮಳೆ ವಿವರಗಳನ್ನು ಅನುಬಂಧ-1ರಲ್ಲಿ ನೀಡಲಾಗಿದೆ.</w:t>
      </w:r>
    </w:p>
    <w:p w:rsidR="00FC1AFD" w:rsidRPr="005A16B8" w:rsidRDefault="00FC1AFD" w:rsidP="00FC1AFD">
      <w:pPr>
        <w:ind w:firstLine="720"/>
        <w:jc w:val="both"/>
        <w:rPr>
          <w:rFonts w:ascii="Nirmala UI" w:hAnsi="Nirmala UI" w:cs="Nirmala UI"/>
          <w:color w:val="000000" w:themeColor="text1"/>
          <w:sz w:val="10"/>
          <w:szCs w:val="24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</w:pPr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</w:rPr>
        <w:t>ಕೃಷಿ ಬೆಳೆಗಳ ಬಿತ್ತನೆ ಪ್ರಗತಿ ಹಾಗೂ ಪರಿಸ್ಥಿತಿ:</w:t>
      </w:r>
    </w:p>
    <w:p w:rsidR="008B49B1" w:rsidRPr="002E6C08" w:rsidRDefault="008B49B1" w:rsidP="008B49B1">
      <w:pPr>
        <w:shd w:val="clear" w:color="auto" w:fill="FFFFFF"/>
        <w:spacing w:after="0" w:line="240" w:lineRule="auto"/>
        <w:jc w:val="center"/>
        <w:rPr>
          <w:rFonts w:ascii="Nirmala UI" w:eastAsia="Arial Unicode MS" w:hAnsi="Nirmala UI" w:cs="Nirmala UI"/>
          <w:b/>
          <w:bCs/>
          <w:color w:val="000000" w:themeColor="text1"/>
          <w:sz w:val="14"/>
          <w:szCs w:val="22"/>
        </w:rPr>
      </w:pPr>
    </w:p>
    <w:p w:rsidR="008B49B1" w:rsidRPr="002E6C08" w:rsidRDefault="008B49B1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  <w:r w:rsidRPr="002E6C08"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  <w:t>ಹಿಂಗಾರು ಹಂಗಾಮು:</w:t>
      </w:r>
    </w:p>
    <w:p w:rsidR="00062D55" w:rsidRPr="002E6C08" w:rsidRDefault="00062D55" w:rsidP="008B49B1">
      <w:pPr>
        <w:shd w:val="clear" w:color="auto" w:fill="FFFFFF"/>
        <w:spacing w:after="0" w:line="240" w:lineRule="auto"/>
        <w:rPr>
          <w:rFonts w:ascii="Nirmala UI" w:eastAsia="Arial Unicode MS" w:hAnsi="Nirmala UI" w:cs="Nirmala UI"/>
          <w:b/>
          <w:bCs/>
          <w:color w:val="000000" w:themeColor="text1"/>
          <w:sz w:val="24"/>
          <w:szCs w:val="22"/>
          <w:u w:val="single"/>
        </w:rPr>
      </w:pPr>
    </w:p>
    <w:p w:rsidR="008B49B1" w:rsidRPr="00390DE0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ದಿನಾಂಕ: </w:t>
      </w:r>
      <w:r w:rsidR="00A52E7F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5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193E64"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ರ ವರದಿಗಳ ಪ್ರಕಾರ 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ನೇ ಸಾಲಿನ ಹಿಂಗಾರು ಹಂಗಾಮಿನಲ್ಲಿ ಕೃಷಿ ಬೆಳೆಗಳ ಪ್ರಸ್ತಾವಿತ ಬಿತ್ತನೆ ಗುರಿ 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>.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68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ಲಕ್ಷ ಹೆಕ್ಟೇರ್ ಪ್ರತಿಯಾಗಿ </w:t>
      </w:r>
      <w:r w:rsidR="005C38FC" w:rsidRPr="005C38FC">
        <w:rPr>
          <w:rFonts w:ascii="Nirmala UI" w:hAnsi="Nirmala UI" w:cs="Nirmala UI"/>
          <w:bCs/>
          <w:color w:val="000000" w:themeColor="text1"/>
          <w:sz w:val="24"/>
          <w:szCs w:val="22"/>
        </w:rPr>
        <w:t>2.25</w:t>
      </w:r>
      <w:r w:rsidR="002E6C08" w:rsidRPr="005C38F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Pr="005C38FC">
        <w:rPr>
          <w:rFonts w:ascii="Nirmala UI" w:hAnsi="Nirmala UI" w:cs="Nirmala UI"/>
          <w:bCs/>
          <w:color w:val="000000" w:themeColor="text1"/>
          <w:sz w:val="24"/>
          <w:szCs w:val="22"/>
        </w:rPr>
        <w:t>ಲಕ್ಷ ಹೆಕ್ಟೇರ್ ವಿಸ್ತೀರ್ಣದಲ್ಲಿ ಬಿತ್ತನೆಯಾಗಿದೆ (ಶೇ.</w:t>
      </w:r>
      <w:r w:rsidR="00797D66" w:rsidRPr="005C38FC">
        <w:rPr>
          <w:rFonts w:ascii="Nirmala UI" w:hAnsi="Nirmala UI" w:cs="Nirmala UI"/>
          <w:bCs/>
          <w:color w:val="000000" w:themeColor="text1"/>
          <w:sz w:val="24"/>
          <w:szCs w:val="22"/>
        </w:rPr>
        <w:t>8</w:t>
      </w:r>
      <w:r w:rsidR="00062D55" w:rsidRPr="005C38FC">
        <w:rPr>
          <w:rFonts w:ascii="Nirmala UI" w:hAnsi="Nirmala UI" w:cs="Nirmala UI"/>
          <w:bCs/>
          <w:color w:val="000000" w:themeColor="text1"/>
          <w:sz w:val="24"/>
          <w:szCs w:val="22"/>
        </w:rPr>
        <w:t>).</w:t>
      </w:r>
      <w:r w:rsidRPr="005C38FC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ಬೆಳೆವಾರು ಹಾಗೂ ಜಿಲ್ಲಾವಾರು ಬಿತ್ತನೆ</w:t>
      </w:r>
      <w:r w:rsidRPr="00390DE0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ಗುರಿ/ಪ್ರಗತಿ ವಿವರಗಳನ್ನು ಅನುಬಂಧ-2 ಹಾಗೂ 3ರಲ್ಲಿ ನೀಡಲಾಗಿದೆ.</w:t>
      </w:r>
    </w:p>
    <w:p w:rsidR="008B49B1" w:rsidRPr="00390DE0" w:rsidRDefault="008B49B1" w:rsidP="008B49B1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18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ಕೃಷಿ ಪರಿಕರಗಳ ಸರಬರಾಜು: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41319E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  <w:t>ರೈತರಿಗೆ ಪ್ರಮುಖ ಕೃಷಿ ಸಾಮಗ್ರಿಗಳಾದ ಬಿತ್ತನೆ ಬೀಜ ಮತ್ತು ರಸಗೊಬ್ಬರಗಳನ್ನು ರೈತ ಸಂಪರ್ಕ ಕೇಂದ್ರಗಳ ಮೂಲಕ ಸರಬರಾಜು ಮಾಡಲು ಅಗತ್ಯ ಕ್ರಮಗಳನ್ನು ಕೈಗೊಳ್ಳಲಾಗಿದೆ.</w:t>
      </w:r>
    </w:p>
    <w:p w:rsidR="008B6274" w:rsidRPr="0041319E" w:rsidRDefault="008B6274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ಬಿತ್ತನೆ ಬೀಜ: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5A16B8" w:rsidRDefault="008B49B1" w:rsidP="008B6274">
      <w:pPr>
        <w:spacing w:after="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ab/>
      </w:r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ಹಿಂಗಾರು</w:t>
      </w:r>
      <w:r w:rsidR="00854A61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/ಬೇಸಿಗೆ</w:t>
      </w:r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ಹಂಗಾಮಿನಲ್ಲಿ ಪ್ರಮಾಣಿತ ಬಿತ್ತನೆ ಬೀಜದ ಅಂದಾಜು ಬೇಡಿಕೆ </w:t>
      </w:r>
      <w:r w:rsidR="005A16B8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4.32</w:t>
      </w:r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ಲಕ್ಷ ಕ್ವಿಂಟಾಲ್ ಗಳಷ್ಟಿದ್ದು, </w:t>
      </w:r>
      <w:r w:rsidR="00F63E15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ಇದುವರೆವಿಗೂ </w:t>
      </w:r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ರೈತ ಸಂಪರ್ಕ ಕೇಂದ್ರಗಳ ಮೂಲಕ </w:t>
      </w:r>
      <w:r w:rsidR="005A16B8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1.11</w:t>
      </w:r>
      <w:r w:rsidR="00582AD2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ಲಕ್ಷ</w:t>
      </w:r>
      <w:r w:rsidR="00F63E15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ಕ್ವಿಂ.ಗಳಷ್</w:t>
      </w:r>
      <w:r w:rsidR="002222FC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ಟು ಬಿತ್ತನೆ ಬೀಜ ವಿತರಣೆ ಮಾಡಲಾಗಿದೆ ಹಾಗೂ </w:t>
      </w:r>
      <w:r w:rsidR="005A16B8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0.61 ಲಕ್ಷ</w:t>
      </w:r>
      <w:r w:rsidR="002222FC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ಕ್ವಿಂ.ಗಳಷ್ಟು ಉಳಿಕೆಯಾಗಿರುತ್ತದೆ.</w:t>
      </w: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8B49B1" w:rsidRPr="0041319E" w:rsidRDefault="008B49B1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/>
          <w:bCs/>
          <w:color w:val="000000" w:themeColor="text1"/>
          <w:sz w:val="24"/>
          <w:szCs w:val="22"/>
        </w:rPr>
        <w:t>ರಸಗೊಬ್ಬರ:</w:t>
      </w:r>
    </w:p>
    <w:p w:rsidR="008B6274" w:rsidRPr="0041319E" w:rsidRDefault="008B6274" w:rsidP="008B49B1">
      <w:pPr>
        <w:spacing w:after="0" w:line="24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2"/>
        </w:rPr>
      </w:pPr>
    </w:p>
    <w:p w:rsidR="008B49B1" w:rsidRPr="005A16B8" w:rsidRDefault="008B49B1" w:rsidP="008B6274">
      <w:pPr>
        <w:spacing w:after="0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-2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3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ರ ಹಿಂಗಾರು/ಬೇಸಿಗೆ ಹಂಗಾಮಿನಲ್ಲಿ </w:t>
      </w:r>
      <w:r w:rsidR="005A16B8">
        <w:rPr>
          <w:rFonts w:ascii="Nirmala UI" w:hAnsi="Nirmala UI" w:cs="Nirmala UI"/>
          <w:bCs/>
          <w:color w:val="000000" w:themeColor="text1"/>
          <w:sz w:val="24"/>
          <w:szCs w:val="22"/>
        </w:rPr>
        <w:t>17.00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ಲಕ್ಷ ಮೆಟ್ರಿಕ್ ಟನ್ ವಿವಿಧ ರಾಸಾಯನಿಕ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ಮಾಡುವ ಸಿದ್ದತೆ ಮಾಡಲಾಗಿದೆ. ದಿನಾಂಕ: </w:t>
      </w:r>
      <w:r w:rsidR="00390DE0">
        <w:rPr>
          <w:rFonts w:ascii="Nirmala UI" w:hAnsi="Nirmala UI" w:cs="Nirmala UI"/>
          <w:bCs/>
          <w:color w:val="000000" w:themeColor="text1"/>
          <w:sz w:val="24"/>
          <w:szCs w:val="22"/>
        </w:rPr>
        <w:t>1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5</w:t>
      </w:r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.1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0</w:t>
      </w:r>
      <w:r w:rsidR="002222FC"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>.202</w:t>
      </w:r>
      <w:r w:rsidR="00854A61">
        <w:rPr>
          <w:rFonts w:ascii="Nirmala UI" w:hAnsi="Nirmala UI" w:cs="Nirmala UI"/>
          <w:bCs/>
          <w:color w:val="000000" w:themeColor="text1"/>
          <w:sz w:val="24"/>
          <w:szCs w:val="22"/>
        </w:rPr>
        <w:t>2</w:t>
      </w:r>
      <w:r w:rsidRPr="0041319E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ರವರೆಗೆ </w:t>
      </w:r>
      <w:r w:rsidR="005A16B8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1.74</w:t>
      </w:r>
      <w:r w:rsidR="00075E92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DA3DDB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ಲಕ್ಷ </w:t>
      </w:r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ಮೆಟ್ರಿಕ್ ಟನ್ ವಿವಿಧ ರಸಗೊಬ್ಬರಗಳು ಸರಬರಾಜು ಆಗಿರುತ್ತದೆ ಹಾಗೂ </w:t>
      </w:r>
      <w:r w:rsidR="00582AD2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5.</w:t>
      </w:r>
      <w:r w:rsidR="005A16B8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86</w:t>
      </w:r>
      <w:r w:rsidR="00075E92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="00513129"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 xml:space="preserve"> </w:t>
      </w:r>
      <w:r w:rsidRPr="005A16B8">
        <w:rPr>
          <w:rFonts w:ascii="Nirmala UI" w:hAnsi="Nirmala UI" w:cs="Nirmala UI"/>
          <w:bCs/>
          <w:color w:val="000000" w:themeColor="text1"/>
          <w:sz w:val="24"/>
          <w:szCs w:val="22"/>
        </w:rPr>
        <w:t>ಲಕ್ಷ ಟನ್ ದಾಸ್ತಾನು ಇರುತ್ತದೆ.</w:t>
      </w:r>
    </w:p>
    <w:p w:rsidR="00062D55" w:rsidRPr="005A16B8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 w:val="24"/>
          <w:szCs w:val="22"/>
        </w:rPr>
      </w:pPr>
    </w:p>
    <w:p w:rsidR="00062D55" w:rsidRPr="001355D6" w:rsidRDefault="00062D55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5A16B8" w:rsidRPr="001355D6" w:rsidRDefault="005A16B8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Pr="001355D6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6274" w:rsidRDefault="008B6274" w:rsidP="00AF2293">
      <w:pPr>
        <w:spacing w:after="0" w:line="240" w:lineRule="auto"/>
        <w:ind w:firstLine="720"/>
        <w:jc w:val="both"/>
        <w:rPr>
          <w:rFonts w:ascii="Nirmala UI" w:hAnsi="Nirmala UI" w:cs="Nirmala UI"/>
          <w:bCs/>
          <w:color w:val="000000" w:themeColor="text1"/>
          <w:szCs w:val="22"/>
        </w:rPr>
      </w:pPr>
    </w:p>
    <w:p w:rsidR="008B49B1" w:rsidRPr="001355D6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-1</w:t>
      </w:r>
    </w:p>
    <w:p w:rsidR="003F47CB" w:rsidRPr="001355D6" w:rsidRDefault="005A16B8" w:rsidP="00660102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5A16B8">
        <w:rPr>
          <w:noProof/>
          <w:szCs w:val="24"/>
          <w:lang w:bidi="ar-SA"/>
        </w:rPr>
        <w:drawing>
          <wp:inline distT="0" distB="0" distL="0" distR="0">
            <wp:extent cx="5941006" cy="8357616"/>
            <wp:effectExtent l="19050" t="0" r="259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03" w:rsidRDefault="008B49B1" w:rsidP="00846A1F">
      <w:pPr>
        <w:spacing w:after="0" w:line="240" w:lineRule="auto"/>
        <w:jc w:val="center"/>
        <w:rPr>
          <w:szCs w:val="24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-2</w:t>
      </w:r>
    </w:p>
    <w:p w:rsidR="00A52E7F" w:rsidRPr="001355D6" w:rsidRDefault="005B1898" w:rsidP="00846A1F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5B1898">
        <w:rPr>
          <w:noProof/>
          <w:szCs w:val="24"/>
          <w:lang w:bidi="ar-SA"/>
        </w:rPr>
        <w:drawing>
          <wp:inline distT="0" distB="0" distL="0" distR="0">
            <wp:extent cx="5940218" cy="8375904"/>
            <wp:effectExtent l="19050" t="0" r="33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1355D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 w:eastAsia="en-US" w:bidi="ar-SA"/>
        </w:rPr>
        <w:t xml:space="preserve">ANNEXURE </w:t>
      </w:r>
      <w:r w:rsidRPr="001355D6"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  <w:t>-3</w:t>
      </w:r>
    </w:p>
    <w:p w:rsidR="00E44753" w:rsidRPr="001355D6" w:rsidRDefault="005B1898" w:rsidP="00DE5486">
      <w:pPr>
        <w:spacing w:after="0" w:line="240" w:lineRule="auto"/>
        <w:jc w:val="center"/>
        <w:rPr>
          <w:rFonts w:ascii="Nudi 01 e" w:hAnsi="Nudi 01 e" w:cs="Times New Roman"/>
          <w:bCs/>
          <w:color w:val="000000" w:themeColor="text1"/>
          <w:sz w:val="24"/>
          <w:szCs w:val="24"/>
          <w:lang w:val="en-US" w:eastAsia="en-US" w:bidi="ar-SA"/>
        </w:rPr>
      </w:pPr>
      <w:r w:rsidRPr="005B1898">
        <w:rPr>
          <w:noProof/>
          <w:szCs w:val="24"/>
          <w:lang w:bidi="ar-SA"/>
        </w:rPr>
        <w:drawing>
          <wp:inline distT="0" distB="0" distL="0" distR="0">
            <wp:extent cx="5940646" cy="8394192"/>
            <wp:effectExtent l="19050" t="0" r="295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RPr="001355D6" w:rsidSect="005C5E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savePreviewPicture/>
  <w:compat/>
  <w:rsids>
    <w:rsidRoot w:val="008B49B1"/>
    <w:rsid w:val="00004B9F"/>
    <w:rsid w:val="000075C4"/>
    <w:rsid w:val="00017E17"/>
    <w:rsid w:val="00040EB1"/>
    <w:rsid w:val="00062D55"/>
    <w:rsid w:val="00075E92"/>
    <w:rsid w:val="0007660D"/>
    <w:rsid w:val="00094E19"/>
    <w:rsid w:val="000967CD"/>
    <w:rsid w:val="000B2F29"/>
    <w:rsid w:val="000D615A"/>
    <w:rsid w:val="000E5C38"/>
    <w:rsid w:val="000E6E96"/>
    <w:rsid w:val="000F3373"/>
    <w:rsid w:val="001007F2"/>
    <w:rsid w:val="00101B3E"/>
    <w:rsid w:val="001044AB"/>
    <w:rsid w:val="00113686"/>
    <w:rsid w:val="00123C71"/>
    <w:rsid w:val="001276F4"/>
    <w:rsid w:val="001277D4"/>
    <w:rsid w:val="0013312A"/>
    <w:rsid w:val="001355D6"/>
    <w:rsid w:val="00193E64"/>
    <w:rsid w:val="001A3F4F"/>
    <w:rsid w:val="001A4EF9"/>
    <w:rsid w:val="001B4092"/>
    <w:rsid w:val="001B685D"/>
    <w:rsid w:val="001D2656"/>
    <w:rsid w:val="001E5F8F"/>
    <w:rsid w:val="001F13FA"/>
    <w:rsid w:val="001F51DB"/>
    <w:rsid w:val="001F6616"/>
    <w:rsid w:val="00200A4F"/>
    <w:rsid w:val="002222FC"/>
    <w:rsid w:val="00222C42"/>
    <w:rsid w:val="00244A83"/>
    <w:rsid w:val="00251643"/>
    <w:rsid w:val="00252D86"/>
    <w:rsid w:val="00271F00"/>
    <w:rsid w:val="002C225D"/>
    <w:rsid w:val="002C230E"/>
    <w:rsid w:val="002D77AA"/>
    <w:rsid w:val="002E1ABE"/>
    <w:rsid w:val="002E6C08"/>
    <w:rsid w:val="002F220F"/>
    <w:rsid w:val="0030327C"/>
    <w:rsid w:val="00317436"/>
    <w:rsid w:val="003306D1"/>
    <w:rsid w:val="003312B4"/>
    <w:rsid w:val="00345783"/>
    <w:rsid w:val="00360A60"/>
    <w:rsid w:val="00373379"/>
    <w:rsid w:val="003818BA"/>
    <w:rsid w:val="003823E3"/>
    <w:rsid w:val="00382AB6"/>
    <w:rsid w:val="00390CA7"/>
    <w:rsid w:val="00390DE0"/>
    <w:rsid w:val="003B6595"/>
    <w:rsid w:val="003C01CE"/>
    <w:rsid w:val="003C129E"/>
    <w:rsid w:val="003E233A"/>
    <w:rsid w:val="003E3D64"/>
    <w:rsid w:val="003F47CB"/>
    <w:rsid w:val="003F54D9"/>
    <w:rsid w:val="00400BAE"/>
    <w:rsid w:val="004064D6"/>
    <w:rsid w:val="004127EB"/>
    <w:rsid w:val="0041319E"/>
    <w:rsid w:val="00431932"/>
    <w:rsid w:val="00433C72"/>
    <w:rsid w:val="00440CE9"/>
    <w:rsid w:val="00444070"/>
    <w:rsid w:val="00444A38"/>
    <w:rsid w:val="00453A8B"/>
    <w:rsid w:val="00455BB8"/>
    <w:rsid w:val="0045783E"/>
    <w:rsid w:val="00464DF3"/>
    <w:rsid w:val="00477449"/>
    <w:rsid w:val="004A5E0C"/>
    <w:rsid w:val="004B1FF9"/>
    <w:rsid w:val="004D4794"/>
    <w:rsid w:val="004D5144"/>
    <w:rsid w:val="004D7214"/>
    <w:rsid w:val="004E2A8A"/>
    <w:rsid w:val="004F3A84"/>
    <w:rsid w:val="00502793"/>
    <w:rsid w:val="005074A2"/>
    <w:rsid w:val="00513129"/>
    <w:rsid w:val="00521827"/>
    <w:rsid w:val="00531B2A"/>
    <w:rsid w:val="00542649"/>
    <w:rsid w:val="00542916"/>
    <w:rsid w:val="00553D54"/>
    <w:rsid w:val="00570B75"/>
    <w:rsid w:val="00576B9C"/>
    <w:rsid w:val="00576D14"/>
    <w:rsid w:val="00582AD2"/>
    <w:rsid w:val="0059769F"/>
    <w:rsid w:val="005A16B8"/>
    <w:rsid w:val="005B1898"/>
    <w:rsid w:val="005B4288"/>
    <w:rsid w:val="005C38FC"/>
    <w:rsid w:val="005C6B3A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3388"/>
    <w:rsid w:val="00643C8A"/>
    <w:rsid w:val="00660102"/>
    <w:rsid w:val="00672351"/>
    <w:rsid w:val="00676F3E"/>
    <w:rsid w:val="00683C3F"/>
    <w:rsid w:val="0068452F"/>
    <w:rsid w:val="00684C75"/>
    <w:rsid w:val="006A414D"/>
    <w:rsid w:val="006B3275"/>
    <w:rsid w:val="006C2C64"/>
    <w:rsid w:val="006D5FB7"/>
    <w:rsid w:val="006D6388"/>
    <w:rsid w:val="006E09BC"/>
    <w:rsid w:val="006F4D7A"/>
    <w:rsid w:val="007004A6"/>
    <w:rsid w:val="007012C4"/>
    <w:rsid w:val="007057A2"/>
    <w:rsid w:val="007120E9"/>
    <w:rsid w:val="00713CD2"/>
    <w:rsid w:val="007221D5"/>
    <w:rsid w:val="00724EB2"/>
    <w:rsid w:val="00731015"/>
    <w:rsid w:val="00741D9E"/>
    <w:rsid w:val="007441EE"/>
    <w:rsid w:val="0074745F"/>
    <w:rsid w:val="0075123A"/>
    <w:rsid w:val="0075161A"/>
    <w:rsid w:val="007571FE"/>
    <w:rsid w:val="00766428"/>
    <w:rsid w:val="007665FE"/>
    <w:rsid w:val="00797D66"/>
    <w:rsid w:val="007B067C"/>
    <w:rsid w:val="007B7F56"/>
    <w:rsid w:val="007C5F99"/>
    <w:rsid w:val="007D0216"/>
    <w:rsid w:val="007D1D54"/>
    <w:rsid w:val="007D2A2B"/>
    <w:rsid w:val="007E4A29"/>
    <w:rsid w:val="007F2CD3"/>
    <w:rsid w:val="007F7C80"/>
    <w:rsid w:val="0080246E"/>
    <w:rsid w:val="00815991"/>
    <w:rsid w:val="00822DBF"/>
    <w:rsid w:val="00837BB7"/>
    <w:rsid w:val="00843A9C"/>
    <w:rsid w:val="00845052"/>
    <w:rsid w:val="00846A1F"/>
    <w:rsid w:val="00852442"/>
    <w:rsid w:val="008549FC"/>
    <w:rsid w:val="00854A61"/>
    <w:rsid w:val="008614F2"/>
    <w:rsid w:val="00867564"/>
    <w:rsid w:val="00876F97"/>
    <w:rsid w:val="0088721C"/>
    <w:rsid w:val="008977D6"/>
    <w:rsid w:val="008A4D30"/>
    <w:rsid w:val="008B49B1"/>
    <w:rsid w:val="008B6274"/>
    <w:rsid w:val="008D4B65"/>
    <w:rsid w:val="008D7EAA"/>
    <w:rsid w:val="008E30AE"/>
    <w:rsid w:val="00903C1B"/>
    <w:rsid w:val="00910A4E"/>
    <w:rsid w:val="0092442E"/>
    <w:rsid w:val="00932492"/>
    <w:rsid w:val="0093518D"/>
    <w:rsid w:val="00940897"/>
    <w:rsid w:val="00951E06"/>
    <w:rsid w:val="009561BB"/>
    <w:rsid w:val="00956B69"/>
    <w:rsid w:val="00956EEB"/>
    <w:rsid w:val="00971C07"/>
    <w:rsid w:val="00977321"/>
    <w:rsid w:val="00977454"/>
    <w:rsid w:val="00987D7D"/>
    <w:rsid w:val="0099552E"/>
    <w:rsid w:val="009B2918"/>
    <w:rsid w:val="009C30C5"/>
    <w:rsid w:val="009E46BB"/>
    <w:rsid w:val="009F2134"/>
    <w:rsid w:val="009F231A"/>
    <w:rsid w:val="00A00F4A"/>
    <w:rsid w:val="00A0220D"/>
    <w:rsid w:val="00A17386"/>
    <w:rsid w:val="00A23DE4"/>
    <w:rsid w:val="00A24AC6"/>
    <w:rsid w:val="00A27611"/>
    <w:rsid w:val="00A429F9"/>
    <w:rsid w:val="00A52E7F"/>
    <w:rsid w:val="00A67303"/>
    <w:rsid w:val="00A855C0"/>
    <w:rsid w:val="00A937D3"/>
    <w:rsid w:val="00A96D1B"/>
    <w:rsid w:val="00A9746E"/>
    <w:rsid w:val="00AB5147"/>
    <w:rsid w:val="00AC6652"/>
    <w:rsid w:val="00AD1B7F"/>
    <w:rsid w:val="00AD4887"/>
    <w:rsid w:val="00AD6C11"/>
    <w:rsid w:val="00AD6C5C"/>
    <w:rsid w:val="00AE4929"/>
    <w:rsid w:val="00AF2293"/>
    <w:rsid w:val="00B0361E"/>
    <w:rsid w:val="00B06658"/>
    <w:rsid w:val="00B149A6"/>
    <w:rsid w:val="00B21A26"/>
    <w:rsid w:val="00B24679"/>
    <w:rsid w:val="00B25C2E"/>
    <w:rsid w:val="00B27921"/>
    <w:rsid w:val="00B53CED"/>
    <w:rsid w:val="00B617A5"/>
    <w:rsid w:val="00B737AD"/>
    <w:rsid w:val="00B85FE5"/>
    <w:rsid w:val="00B9465B"/>
    <w:rsid w:val="00BB163C"/>
    <w:rsid w:val="00BC471A"/>
    <w:rsid w:val="00BD7C27"/>
    <w:rsid w:val="00BF0226"/>
    <w:rsid w:val="00BF2106"/>
    <w:rsid w:val="00C06523"/>
    <w:rsid w:val="00C10503"/>
    <w:rsid w:val="00C362F8"/>
    <w:rsid w:val="00C54AE4"/>
    <w:rsid w:val="00C76B24"/>
    <w:rsid w:val="00C77987"/>
    <w:rsid w:val="00C84A1E"/>
    <w:rsid w:val="00C8575A"/>
    <w:rsid w:val="00C86A69"/>
    <w:rsid w:val="00CA377B"/>
    <w:rsid w:val="00CA429B"/>
    <w:rsid w:val="00CB3183"/>
    <w:rsid w:val="00CB3CF9"/>
    <w:rsid w:val="00CE094D"/>
    <w:rsid w:val="00D14D0C"/>
    <w:rsid w:val="00D23DCD"/>
    <w:rsid w:val="00D2782E"/>
    <w:rsid w:val="00D42CDD"/>
    <w:rsid w:val="00D42F3F"/>
    <w:rsid w:val="00D4303B"/>
    <w:rsid w:val="00D44129"/>
    <w:rsid w:val="00D528A4"/>
    <w:rsid w:val="00D56AE0"/>
    <w:rsid w:val="00D61765"/>
    <w:rsid w:val="00D65E36"/>
    <w:rsid w:val="00D90B28"/>
    <w:rsid w:val="00DA1251"/>
    <w:rsid w:val="00DA3DDB"/>
    <w:rsid w:val="00DA3F06"/>
    <w:rsid w:val="00DA556D"/>
    <w:rsid w:val="00DB2A85"/>
    <w:rsid w:val="00DB7D7B"/>
    <w:rsid w:val="00DC3737"/>
    <w:rsid w:val="00DC68D9"/>
    <w:rsid w:val="00DD0CB3"/>
    <w:rsid w:val="00DD1C4F"/>
    <w:rsid w:val="00DD2755"/>
    <w:rsid w:val="00DD353A"/>
    <w:rsid w:val="00DD7111"/>
    <w:rsid w:val="00DD7B9D"/>
    <w:rsid w:val="00DE5486"/>
    <w:rsid w:val="00DE6BEC"/>
    <w:rsid w:val="00DF7F2A"/>
    <w:rsid w:val="00E0328D"/>
    <w:rsid w:val="00E07103"/>
    <w:rsid w:val="00E15BF4"/>
    <w:rsid w:val="00E2012D"/>
    <w:rsid w:val="00E35853"/>
    <w:rsid w:val="00E3769D"/>
    <w:rsid w:val="00E44753"/>
    <w:rsid w:val="00E47F60"/>
    <w:rsid w:val="00E641C0"/>
    <w:rsid w:val="00E75396"/>
    <w:rsid w:val="00E9641C"/>
    <w:rsid w:val="00EA4384"/>
    <w:rsid w:val="00EC5711"/>
    <w:rsid w:val="00ED6A06"/>
    <w:rsid w:val="00EF4BCC"/>
    <w:rsid w:val="00EF627C"/>
    <w:rsid w:val="00F00AD2"/>
    <w:rsid w:val="00F00DB8"/>
    <w:rsid w:val="00F04D11"/>
    <w:rsid w:val="00F10E7F"/>
    <w:rsid w:val="00F13E9E"/>
    <w:rsid w:val="00F15AEE"/>
    <w:rsid w:val="00F22C74"/>
    <w:rsid w:val="00F32B0F"/>
    <w:rsid w:val="00F402FF"/>
    <w:rsid w:val="00F532C9"/>
    <w:rsid w:val="00F62312"/>
    <w:rsid w:val="00F63E15"/>
    <w:rsid w:val="00F66C9E"/>
    <w:rsid w:val="00F847F8"/>
    <w:rsid w:val="00F91703"/>
    <w:rsid w:val="00FA0021"/>
    <w:rsid w:val="00FA29F7"/>
    <w:rsid w:val="00FC1AFD"/>
    <w:rsid w:val="00FC286F"/>
    <w:rsid w:val="00FC6594"/>
    <w:rsid w:val="00FD0355"/>
    <w:rsid w:val="00FD6335"/>
    <w:rsid w:val="00FE65B8"/>
    <w:rsid w:val="00FE6DE3"/>
    <w:rsid w:val="00FF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5</cp:revision>
  <cp:lastPrinted>2022-10-15T11:03:00Z</cp:lastPrinted>
  <dcterms:created xsi:type="dcterms:W3CDTF">2022-10-15T07:45:00Z</dcterms:created>
  <dcterms:modified xsi:type="dcterms:W3CDTF">2022-10-15T11:04:00Z</dcterms:modified>
</cp:coreProperties>
</file>