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957750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15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957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95775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713841" w:rsidRDefault="00713841" w:rsidP="0055605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713841">
              <w:rPr>
                <w:rFonts w:ascii="Nirmala UI" w:hAnsi="Nirmala UI" w:cs="Nirmala UI"/>
                <w:bCs/>
                <w:color w:val="000000" w:themeColor="text1"/>
              </w:rPr>
              <w:t>11.62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713841">
              <w:rPr>
                <w:rFonts w:ascii="Nirmala UI" w:hAnsi="Nirmala UI" w:cs="Nirmala UI"/>
                <w:bCs/>
                <w:color w:val="000000" w:themeColor="text1"/>
              </w:rPr>
              <w:t>9.14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713841">
              <w:rPr>
                <w:rFonts w:ascii="Nirmala UI" w:hAnsi="Nirmala UI" w:cs="Nirmala UI"/>
                <w:b/>
                <w:bCs/>
                <w:color w:val="000000" w:themeColor="text1"/>
              </w:rPr>
              <w:t>20.76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713841">
              <w:rPr>
                <w:rFonts w:ascii="Nirmala UI" w:hAnsi="Nirmala UI" w:cs="Nirmala UI"/>
                <w:bCs/>
                <w:color w:val="000000" w:themeColor="text1"/>
              </w:rPr>
              <w:t>4.96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713841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713841">
              <w:rPr>
                <w:rFonts w:ascii="Nirmala UI" w:hAnsi="Nirmala UI" w:cs="Nirmala UI"/>
                <w:color w:val="000000" w:themeColor="text1"/>
              </w:rPr>
              <w:t>3.91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713841">
              <w:rPr>
                <w:rFonts w:ascii="Nirmala UI" w:hAnsi="Nirmala UI" w:cs="Nirmala UI"/>
                <w:color w:val="000000" w:themeColor="text1"/>
              </w:rPr>
              <w:t>5.90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713841">
              <w:rPr>
                <w:rFonts w:ascii="Nirmala UI" w:hAnsi="Nirmala UI" w:cs="Nirmala UI"/>
                <w:color w:val="000000" w:themeColor="text1"/>
              </w:rPr>
              <w:t>0.73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713841" w:rsidRDefault="00713841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713841">
              <w:rPr>
                <w:rFonts w:ascii="Nirmala UI" w:hAnsi="Nirmala UI" w:cs="Nirmala UI"/>
                <w:b/>
                <w:bCs/>
                <w:color w:val="000000" w:themeColor="text1"/>
              </w:rPr>
              <w:t>36.27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713841" w:rsidRDefault="00BA7437" w:rsidP="00BA74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June-1 to July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577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713841"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327</w:t>
      </w:r>
      <w:r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713841"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216</w:t>
      </w:r>
      <w:r w:rsidR="000F4F24"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(-3</w:t>
      </w:r>
      <w:r w:rsidR="00713841"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713841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713841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957750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4308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8474E0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0C4308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Ju</w:t>
      </w:r>
      <w:r w:rsidR="000C4308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713841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="00BA7437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713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713841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333</w:t>
      </w:r>
      <w:r w:rsidR="004408D6"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(-25</w:t>
      </w:r>
      <w:r w:rsidRPr="0071384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4408D6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36.27</w:t>
      </w:r>
      <w:r w:rsidR="00DD7581" w:rsidRPr="00713841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13841" w:rsidRPr="00713841">
        <w:rPr>
          <w:rFonts w:ascii="Nirmala UI" w:hAnsi="Nirmala UI" w:cs="Nirmala UI"/>
          <w:color w:val="000000" w:themeColor="text1"/>
          <w:szCs w:val="24"/>
        </w:rPr>
        <w:t>44</w:t>
      </w:r>
      <w:r w:rsidR="00741A5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95775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430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E65E9C" w:rsidRPr="00713841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:15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2.46</w:t>
      </w:r>
      <w:r w:rsidR="0082715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4408D6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82715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4408D6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4408D6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0E43B9" w:rsidRPr="00713841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4408D6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08D6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72218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08D6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08D6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72218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08D6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2218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Pr="00957750" w:rsidRDefault="00BA7437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713841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13841">
        <w:rPr>
          <w:szCs w:val="28"/>
        </w:rPr>
        <w:drawing>
          <wp:inline distT="0" distB="0" distL="0" distR="0">
            <wp:extent cx="6095622" cy="8791575"/>
            <wp:effectExtent l="19050" t="0" r="3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71384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13841">
        <w:rPr>
          <w:szCs w:val="28"/>
        </w:rPr>
        <w:lastRenderedPageBreak/>
        <w:drawing>
          <wp:inline distT="0" distB="0" distL="0" distR="0">
            <wp:extent cx="6097905" cy="92360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2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713841" w:rsidRPr="00713841">
        <w:rPr>
          <w:szCs w:val="28"/>
        </w:rPr>
        <w:drawing>
          <wp:inline distT="0" distB="0" distL="0" distR="0">
            <wp:extent cx="6095284" cy="8391525"/>
            <wp:effectExtent l="19050" t="0" r="7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39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408D6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26B32"/>
    <w:rsid w:val="0063318C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01C2B"/>
    <w:rsid w:val="0082715F"/>
    <w:rsid w:val="00846C87"/>
    <w:rsid w:val="008474E0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57750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F3482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106D2"/>
    <w:rsid w:val="00F30E1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38</cp:revision>
  <dcterms:created xsi:type="dcterms:W3CDTF">2021-09-24T10:10:00Z</dcterms:created>
  <dcterms:modified xsi:type="dcterms:W3CDTF">2023-07-15T10:20:00Z</dcterms:modified>
</cp:coreProperties>
</file>