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70" w:rsidRPr="00A7309B" w:rsidRDefault="00781270" w:rsidP="00FD0E40">
      <w:pPr>
        <w:spacing w:before="140" w:after="140" w:line="340" w:lineRule="atLeast"/>
        <w:jc w:val="both"/>
        <w:rPr>
          <w:rFonts w:ascii="Tunga" w:hAnsi="Tunga" w:cs="Tunga"/>
          <w:b/>
          <w:color w:val="595959"/>
          <w:sz w:val="28"/>
          <w:szCs w:val="28"/>
        </w:rPr>
      </w:pPr>
      <w:proofErr w:type="gramStart"/>
      <w:r w:rsidRPr="00A7309B">
        <w:rPr>
          <w:rFonts w:ascii="Tunga" w:hAnsi="Tunga" w:cs="Tunga"/>
          <w:b/>
          <w:color w:val="595959"/>
          <w:sz w:val="28"/>
          <w:szCs w:val="28"/>
        </w:rPr>
        <w:t>II .</w:t>
      </w:r>
      <w:proofErr w:type="gramEnd"/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 w:val="28"/>
          <w:szCs w:val="28"/>
        </w:rPr>
        <w:t>ನೂತನ</w:t>
      </w:r>
      <w:proofErr w:type="spellEnd"/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 w:val="28"/>
          <w:szCs w:val="28"/>
        </w:rPr>
        <w:t>ಡಿಎಸ್ಎಸ್–ಅವಲೋಕನ</w:t>
      </w:r>
      <w:proofErr w:type="spellEnd"/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 w:val="28"/>
          <w:szCs w:val="28"/>
        </w:rPr>
        <w:t>ತಂತ್ರಾಂಶದ</w:t>
      </w:r>
      <w:proofErr w:type="spellEnd"/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 w:val="28"/>
          <w:szCs w:val="28"/>
        </w:rPr>
        <w:t>ಅನುಷ್ಠಾನ</w:t>
      </w:r>
      <w:proofErr w:type="spellEnd"/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 w:val="28"/>
          <w:szCs w:val="28"/>
        </w:rPr>
        <w:t>ಮಾರ್ಗಸೂಚಿ</w:t>
      </w:r>
      <w:proofErr w:type="spellEnd"/>
    </w:p>
    <w:p w:rsidR="00781270" w:rsidRPr="00A7309B" w:rsidRDefault="00781270" w:rsidP="00FD0E40">
      <w:pPr>
        <w:pStyle w:val="ListParagraph"/>
        <w:numPr>
          <w:ilvl w:val="0"/>
          <w:numId w:val="1"/>
        </w:numPr>
        <w:spacing w:before="140" w:beforeAutospacing="0" w:after="140" w:afterAutospacing="0" w:line="340" w:lineRule="atLeast"/>
        <w:ind w:right="0"/>
        <w:rPr>
          <w:rFonts w:ascii="Tunga" w:eastAsia="Arial Unicode MS" w:hAnsi="Tunga" w:cs="Tunga"/>
          <w:color w:val="595959"/>
          <w:sz w:val="28"/>
          <w:szCs w:val="28"/>
          <w:lang w:val="en-IN"/>
        </w:rPr>
      </w:pPr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2022-23ನೇ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ಸಾಲಿನ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ಇಲಾಖೆಯ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ವಿವಿಧ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ಯೊಜನೆ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/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ಕಾರ್ಯಕ್ರಮಗಳಡಿ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ನಿಗದಿ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ಪಡಿಸಿರುವ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ಆರ್ಥಿಕ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ಮತ್ತು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ಭೌತಿಕ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ಗುರಿ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/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ಸಾಧನೆಗಳನ್ನು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ಕಡ್ಡಾಯವಾಗಿ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ನೂತನ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ಡಿ.ಎಸ್.ಎಸ್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ತಂತ್ರಾಂಶದಲ್ಲಿ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ಅಳವಡಿಸುವುದು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. (</w:t>
      </w:r>
      <w:hyperlink r:id="rId5" w:history="1">
        <w:r w:rsidRPr="00A7309B">
          <w:rPr>
            <w:rStyle w:val="Hyperlink"/>
            <w:rFonts w:ascii="Tunga" w:eastAsia="Arial Unicode MS" w:hAnsi="Tunga" w:cs="Tunga"/>
            <w:b/>
            <w:bCs/>
            <w:color w:val="595959"/>
            <w:sz w:val="28"/>
            <w:szCs w:val="28"/>
            <w:lang w:val="en-IN"/>
          </w:rPr>
          <w:t>https://avalokana.karnataka.gov.in</w:t>
        </w:r>
      </w:hyperlink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val="en-IN"/>
        </w:rPr>
        <w:t>)</w:t>
      </w:r>
    </w:p>
    <w:p w:rsidR="00781270" w:rsidRPr="00A7309B" w:rsidRDefault="00781270" w:rsidP="00FD0E40">
      <w:pPr>
        <w:pStyle w:val="ListParagraph"/>
        <w:numPr>
          <w:ilvl w:val="0"/>
          <w:numId w:val="1"/>
        </w:numPr>
        <w:spacing w:before="140" w:beforeAutospacing="0" w:after="140" w:afterAutospacing="0" w:line="340" w:lineRule="atLeast"/>
        <w:ind w:right="0"/>
        <w:rPr>
          <w:rFonts w:ascii="Tunga" w:eastAsia="Arial Unicode MS" w:hAnsi="Tunga" w:cs="Tunga"/>
          <w:color w:val="595959"/>
          <w:sz w:val="28"/>
          <w:szCs w:val="28"/>
          <w:lang w:val="en-IN"/>
        </w:rPr>
      </w:pP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ವಿವಿಧ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ಹಂತಗಳಲ್ಲಿ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ನೂತನ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ಡಿ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ಎಸ್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ಎಸ್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ತಂತ್ರಾಂಶದಲ್ಲಿ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ಮಾಹಿತಿಗಳ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ಅಳವಡಿಕೆ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:</w:t>
      </w:r>
    </w:p>
    <w:p w:rsidR="00781270" w:rsidRPr="00A7309B" w:rsidRDefault="00781270" w:rsidP="00FD0E40">
      <w:pPr>
        <w:pStyle w:val="ListParagraph"/>
        <w:spacing w:before="140" w:beforeAutospacing="0" w:after="140" w:afterAutospacing="0" w:line="340" w:lineRule="atLeast"/>
        <w:rPr>
          <w:rFonts w:ascii="Tunga" w:eastAsia="Arial Unicode MS" w:hAnsi="Tunga" w:cs="Tunga"/>
          <w:color w:val="595959"/>
          <w:sz w:val="28"/>
          <w:szCs w:val="28"/>
          <w:lang w:val="en-IN"/>
        </w:rPr>
      </w:pPr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ಅ)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ಯೋಜನಾ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ಇಲಾಖೆ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:  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ಆಯವ್ಯಯದಲ್ಲಿ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ನಿಗದಿಯಾದ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ಅನುದಾನವನ್ನು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ಲೆಕ್ಕ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ಶೀರ್ಷಿಕೆವಾರು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ಅಳವಡಿಸುವುದು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.</w:t>
      </w:r>
    </w:p>
    <w:p w:rsidR="00781270" w:rsidRPr="00A7309B" w:rsidRDefault="00781270" w:rsidP="00FD0E40">
      <w:pPr>
        <w:pStyle w:val="ListParagraph"/>
        <w:spacing w:before="140" w:beforeAutospacing="0" w:after="140" w:afterAutospacing="0" w:line="340" w:lineRule="atLeast"/>
        <w:rPr>
          <w:rFonts w:ascii="Tunga" w:eastAsia="Arial Unicode MS" w:hAnsi="Tunga" w:cs="Tunga"/>
          <w:color w:val="595959"/>
          <w:sz w:val="28"/>
          <w:szCs w:val="28"/>
          <w:lang w:val="en-IN"/>
        </w:rPr>
      </w:pPr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ಆ)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ಇಲಾಖಾ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ಮುಖ್ಯಸ್ಥರು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:    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ಯೋಜನಾ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ಇಲಾಖೆಯಿಂದ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ನಿಗದಿಪಡಿಸಿರುವ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ಅನುದಾನವನ್ನು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ಖಚಿತಪಡಿಸುವುದು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.</w:t>
      </w:r>
    </w:p>
    <w:p w:rsidR="00781270" w:rsidRPr="00A7309B" w:rsidRDefault="00781270" w:rsidP="00FD0E40">
      <w:pPr>
        <w:pStyle w:val="ListParagraph"/>
        <w:spacing w:before="140" w:beforeAutospacing="0" w:after="140" w:afterAutospacing="0" w:line="340" w:lineRule="atLeast"/>
        <w:rPr>
          <w:rFonts w:ascii="Tunga" w:eastAsia="Arial Unicode MS" w:hAnsi="Tunga" w:cs="Tunga"/>
          <w:color w:val="595959"/>
          <w:sz w:val="28"/>
          <w:szCs w:val="28"/>
          <w:lang w:val="en-IN"/>
        </w:rPr>
      </w:pPr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ಇ)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ಇಲಾಖಾ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ಅಡ್ಮಿನ್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:           </w:t>
      </w:r>
    </w:p>
    <w:p w:rsidR="00781270" w:rsidRPr="00A7309B" w:rsidRDefault="00384A43" w:rsidP="00FD0E40">
      <w:pPr>
        <w:pStyle w:val="ListParagraph"/>
        <w:numPr>
          <w:ilvl w:val="0"/>
          <w:numId w:val="2"/>
        </w:numPr>
        <w:spacing w:before="140" w:beforeAutospacing="0" w:after="140" w:afterAutospacing="0" w:line="340" w:lineRule="atLeast"/>
        <w:ind w:right="0"/>
        <w:rPr>
          <w:rFonts w:ascii="Tunga" w:eastAsia="Arial Unicode MS" w:hAnsi="Tunga" w:cs="Tunga"/>
          <w:color w:val="595959"/>
          <w:sz w:val="28"/>
          <w:szCs w:val="28"/>
          <w:lang w:val="en-IN"/>
        </w:rPr>
      </w:pPr>
      <w:r>
        <w:rPr>
          <w:rFonts w:ascii="Tunga" w:eastAsia="Arial Unicode MS" w:hAnsi="Tunga" w:cs="Tunga"/>
          <w:noProof/>
          <w:color w:val="595959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6.1pt;margin-top:4.1pt;width:.75pt;height:89.25pt;z-index:251660288" o:connectortype="straight" strokeweight="3pt">
            <v:stroke endarrow="block"/>
          </v:shape>
        </w:pic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ಪ್ರತಿ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ಲೆಕ್ಕ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ಶೀರ್ಷಿಕೆ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/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ಉಪ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ಲೆಕ್ಕ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ಶೀರ್ಷಿಕೆವಾರು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ಜಿಲ್ಲಾ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ಡಿ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ಡಿ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ಓ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ಗಳಿಗೆ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ಅನುದಾನ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ಹಂಚಿಕೆ</w:t>
      </w:r>
      <w:proofErr w:type="spellEnd"/>
    </w:p>
    <w:p w:rsidR="00781270" w:rsidRPr="00A7309B" w:rsidRDefault="00781270" w:rsidP="00FD0E40">
      <w:pPr>
        <w:pStyle w:val="ListParagraph"/>
        <w:numPr>
          <w:ilvl w:val="0"/>
          <w:numId w:val="2"/>
        </w:numPr>
        <w:spacing w:before="140" w:beforeAutospacing="0" w:after="140" w:afterAutospacing="0" w:line="340" w:lineRule="atLeast"/>
        <w:ind w:right="0"/>
        <w:rPr>
          <w:rFonts w:ascii="Tunga" w:eastAsia="Arial Unicode MS" w:hAnsi="Tunga" w:cs="Tunga"/>
          <w:color w:val="595959"/>
          <w:sz w:val="28"/>
          <w:szCs w:val="28"/>
          <w:lang w:val="en-IN"/>
        </w:rPr>
      </w:pP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ಔಟ್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ಪುಟ್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(output)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ಮತ್ತು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ಔಟ್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ಕಮ್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(outcome)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ಅಳವಡಿಕೆ</w:t>
      </w:r>
      <w:proofErr w:type="spellEnd"/>
    </w:p>
    <w:p w:rsidR="00781270" w:rsidRPr="00A7309B" w:rsidRDefault="00781270" w:rsidP="00FD0E40">
      <w:pPr>
        <w:pStyle w:val="ListParagraph"/>
        <w:numPr>
          <w:ilvl w:val="0"/>
          <w:numId w:val="2"/>
        </w:numPr>
        <w:spacing w:before="140" w:beforeAutospacing="0" w:after="140" w:afterAutospacing="0" w:line="340" w:lineRule="atLeast"/>
        <w:ind w:right="0"/>
        <w:rPr>
          <w:rFonts w:ascii="Tunga" w:eastAsia="Arial Unicode MS" w:hAnsi="Tunga" w:cs="Tunga"/>
          <w:color w:val="595959"/>
          <w:sz w:val="28"/>
          <w:szCs w:val="28"/>
          <w:lang w:val="en-IN"/>
        </w:rPr>
      </w:pP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ಯೋಜನೆಗಳಡಿ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ಅನುಷ್ಠಾನಗೊಳಿಸಲಾಗುತ್ತಿರುವ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ವಿವಿಧ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                                          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ಕಾರ್ಯಕ್ರಮಗಳ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ಅಳವಡಿಕೆ</w:t>
      </w:r>
      <w:proofErr w:type="spellEnd"/>
    </w:p>
    <w:p w:rsidR="00781270" w:rsidRPr="00A7309B" w:rsidRDefault="00781270" w:rsidP="00FD0E40">
      <w:pPr>
        <w:pStyle w:val="ListParagraph"/>
        <w:spacing w:before="140" w:beforeAutospacing="0" w:after="140" w:afterAutospacing="0" w:line="340" w:lineRule="atLeast"/>
        <w:rPr>
          <w:rFonts w:ascii="Tunga" w:eastAsia="Arial Unicode MS" w:hAnsi="Tunga" w:cs="Tunga"/>
          <w:color w:val="595959"/>
          <w:sz w:val="28"/>
          <w:szCs w:val="28"/>
          <w:lang w:val="en-IN"/>
        </w:rPr>
      </w:pPr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ಈ)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ಇಲಾಖಾ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ಮುಖ್ಯಸ್ಥರು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:    </w:t>
      </w:r>
    </w:p>
    <w:p w:rsidR="00781270" w:rsidRPr="00A7309B" w:rsidRDefault="00384A43" w:rsidP="00FD0E40">
      <w:pPr>
        <w:pStyle w:val="ListParagraph"/>
        <w:numPr>
          <w:ilvl w:val="0"/>
          <w:numId w:val="2"/>
        </w:numPr>
        <w:spacing w:before="140" w:beforeAutospacing="0" w:after="140" w:afterAutospacing="0" w:line="340" w:lineRule="atLeast"/>
        <w:ind w:right="0"/>
        <w:rPr>
          <w:rFonts w:ascii="Tunga" w:eastAsia="Arial Unicode MS" w:hAnsi="Tunga" w:cs="Tunga"/>
          <w:color w:val="595959"/>
          <w:sz w:val="28"/>
          <w:szCs w:val="28"/>
          <w:lang w:val="en-IN"/>
        </w:rPr>
      </w:pPr>
      <w:r>
        <w:rPr>
          <w:rFonts w:ascii="Tunga" w:eastAsia="Arial Unicode MS" w:hAnsi="Tunga" w:cs="Tunga"/>
          <w:noProof/>
          <w:color w:val="595959"/>
          <w:sz w:val="28"/>
          <w:szCs w:val="28"/>
        </w:rPr>
        <w:pict>
          <v:shape id="_x0000_s1027" type="#_x0000_t32" style="position:absolute;left:0;text-align:left;margin-left:85.35pt;margin-top:12.3pt;width:0;height:89.25pt;z-index:251661312" o:connectortype="straight" strokeweight="3pt">
            <v:stroke endarrow="block"/>
          </v:shape>
        </w:pict>
      </w:r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ಪ್ರತಿ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ಲೆಕ್ಕ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ಶೀರ್ಷಿಕೆ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/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ಉಪ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ಲೆಕ್ಕ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ಶೀರ್ಷಿಕೆವಾರು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ಜಿಲ್ಲಾ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ಡಿ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ಡಿ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ಓ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ಗಳಿಗೆ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ಹಂಚಿಕೆಯಾದ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ಅನುದಾನವನ್ನು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ಅನುಮೋದಿಸುವುದು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.</w:t>
      </w:r>
    </w:p>
    <w:p w:rsidR="00781270" w:rsidRPr="00A7309B" w:rsidRDefault="00781270" w:rsidP="00FD0E40">
      <w:pPr>
        <w:pStyle w:val="ListParagraph"/>
        <w:numPr>
          <w:ilvl w:val="0"/>
          <w:numId w:val="2"/>
        </w:numPr>
        <w:spacing w:before="140" w:beforeAutospacing="0" w:after="140" w:afterAutospacing="0" w:line="340" w:lineRule="atLeast"/>
        <w:ind w:right="0"/>
        <w:rPr>
          <w:rFonts w:ascii="Tunga" w:eastAsia="Arial Unicode MS" w:hAnsi="Tunga" w:cs="Tunga"/>
          <w:color w:val="595959"/>
          <w:sz w:val="28"/>
          <w:szCs w:val="28"/>
          <w:lang w:val="en-IN"/>
        </w:rPr>
      </w:pP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ಔಟ್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ಪುಟ್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(output)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ಮತ್ತು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ಔಟ್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ಕಮ್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(outcome)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ಗಳ</w:t>
      </w:r>
      <w:proofErr w:type="spellEnd"/>
    </w:p>
    <w:p w:rsidR="00781270" w:rsidRPr="00A7309B" w:rsidRDefault="00781270" w:rsidP="00FD0E40">
      <w:pPr>
        <w:pStyle w:val="ListParagraph"/>
        <w:spacing w:before="140" w:beforeAutospacing="0" w:after="140" w:afterAutospacing="0" w:line="340" w:lineRule="atLeast"/>
        <w:ind w:left="3240"/>
        <w:rPr>
          <w:rFonts w:ascii="Tunga" w:eastAsia="Arial Unicode MS" w:hAnsi="Tunga" w:cs="Tunga"/>
          <w:color w:val="595959"/>
          <w:sz w:val="28"/>
          <w:szCs w:val="28"/>
          <w:lang w:val="en-IN"/>
        </w:rPr>
      </w:pP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ಅನುಮೋದನೆ</w:t>
      </w:r>
      <w:proofErr w:type="spellEnd"/>
    </w:p>
    <w:p w:rsidR="00781270" w:rsidRPr="00A7309B" w:rsidRDefault="00781270" w:rsidP="00FD0E40">
      <w:pPr>
        <w:pStyle w:val="ListParagraph"/>
        <w:numPr>
          <w:ilvl w:val="0"/>
          <w:numId w:val="2"/>
        </w:numPr>
        <w:spacing w:before="140" w:beforeAutospacing="0" w:after="140" w:afterAutospacing="0" w:line="340" w:lineRule="atLeast"/>
        <w:ind w:right="0"/>
        <w:rPr>
          <w:rFonts w:ascii="Tunga" w:eastAsia="Arial Unicode MS" w:hAnsi="Tunga" w:cs="Tunga"/>
          <w:color w:val="595959"/>
          <w:sz w:val="28"/>
          <w:szCs w:val="28"/>
          <w:lang w:val="en-IN"/>
        </w:rPr>
      </w:pP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ಯೋಜನೆಗಳಡಿ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ಅನುಷ್ಠಾನಗೊಳಿಸಲಾಗುತ್ತಿರುವ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ವಿವಿಧ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ಕಾರ್ಯಕ್ರಮಗಳ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  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ಅನುಮೋದನೆ</w:t>
      </w:r>
      <w:proofErr w:type="spellEnd"/>
    </w:p>
    <w:p w:rsidR="00781270" w:rsidRPr="00A7309B" w:rsidRDefault="00781270" w:rsidP="00FD0E40">
      <w:pPr>
        <w:pStyle w:val="ListParagraph"/>
        <w:spacing w:before="140" w:beforeAutospacing="0" w:after="140" w:afterAutospacing="0" w:line="340" w:lineRule="atLeast"/>
        <w:rPr>
          <w:rFonts w:ascii="Tunga" w:eastAsia="Arial Unicode MS" w:hAnsi="Tunga" w:cs="Tunga"/>
          <w:color w:val="595959"/>
          <w:sz w:val="28"/>
          <w:szCs w:val="28"/>
          <w:lang w:val="en-IN"/>
        </w:rPr>
      </w:pPr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lastRenderedPageBreak/>
        <w:t xml:space="preserve">ಉ)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ಜಿಲ್ಲಾ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ಡಿ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ಡಿ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ಓ                </w:t>
      </w:r>
    </w:p>
    <w:p w:rsidR="00781270" w:rsidRPr="00A7309B" w:rsidRDefault="00384A43" w:rsidP="00FD0E40">
      <w:pPr>
        <w:pStyle w:val="ListParagraph"/>
        <w:numPr>
          <w:ilvl w:val="0"/>
          <w:numId w:val="2"/>
        </w:numPr>
        <w:spacing w:before="140" w:beforeAutospacing="0" w:after="140" w:afterAutospacing="0" w:line="340" w:lineRule="atLeast"/>
        <w:ind w:right="0"/>
        <w:rPr>
          <w:rFonts w:ascii="Tunga" w:eastAsia="Arial Unicode MS" w:hAnsi="Tunga" w:cs="Tunga"/>
          <w:color w:val="595959"/>
          <w:sz w:val="28"/>
          <w:szCs w:val="28"/>
          <w:lang w:val="en-IN"/>
        </w:rPr>
      </w:pPr>
      <w:r>
        <w:rPr>
          <w:rFonts w:ascii="Tunga" w:eastAsia="Arial Unicode MS" w:hAnsi="Tunga" w:cs="Tunga"/>
          <w:noProof/>
          <w:color w:val="595959"/>
          <w:sz w:val="28"/>
          <w:szCs w:val="28"/>
        </w:rPr>
        <w:pict>
          <v:shape id="_x0000_s1028" type="#_x0000_t32" style="position:absolute;left:0;text-align:left;margin-left:85.35pt;margin-top:2.85pt;width:0;height:33.75pt;z-index:251662336" o:connectortype="straight" strokeweight="3pt">
            <v:stroke endarrow="block"/>
          </v:shape>
        </w:pic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ಯೋಜನೆಗಳಡಿ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ಅನುಷ್ಠಾನಗೊಳಿಸಲಾಗುತ್ತಿರುವ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ವಿವಿಧ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ಕಾರ್ಯಕ್ರಮಗಳಡಿ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ಅವರ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ಅಧೀನದಲ್ಲಿ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ಬರುವ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ಡಿ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ಡಿ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ಓ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ಗಳಿಗೆ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(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ತಾಲ್ಲೂಕು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/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ಜಿಲ್ಲಾ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ತರಬೇತಿ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ಕೇಂದ್ರ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)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ಅನುದಾನ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ಹಂಚಿಕೆ</w:t>
      </w:r>
      <w:proofErr w:type="spellEnd"/>
    </w:p>
    <w:p w:rsidR="00781270" w:rsidRPr="00A7309B" w:rsidRDefault="00781270" w:rsidP="00FD0E40">
      <w:pPr>
        <w:pStyle w:val="ListParagraph"/>
        <w:spacing w:before="140" w:beforeAutospacing="0" w:after="140" w:afterAutospacing="0" w:line="340" w:lineRule="atLeast"/>
        <w:rPr>
          <w:rFonts w:ascii="Tunga" w:eastAsia="Arial Unicode MS" w:hAnsi="Tunga" w:cs="Tunga"/>
          <w:color w:val="595959"/>
          <w:sz w:val="28"/>
          <w:szCs w:val="28"/>
          <w:lang w:val="en-IN"/>
        </w:rPr>
      </w:pPr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ಊ)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ತಾಲ್ಲೂಕು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/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ಜಿಲ್ಲಾ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ತರಬೇತಿ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ಕೇಂದ್ರಗಳ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ಡಿ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ಡಿ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ಓ                   </w:t>
      </w:r>
    </w:p>
    <w:p w:rsidR="00781270" w:rsidRPr="00A7309B" w:rsidRDefault="00384A43" w:rsidP="00FD0E40">
      <w:pPr>
        <w:pStyle w:val="ListParagraph"/>
        <w:numPr>
          <w:ilvl w:val="0"/>
          <w:numId w:val="2"/>
        </w:numPr>
        <w:spacing w:before="140" w:beforeAutospacing="0" w:after="140" w:afterAutospacing="0" w:line="340" w:lineRule="atLeast"/>
        <w:ind w:right="0"/>
        <w:rPr>
          <w:rFonts w:ascii="Tunga" w:eastAsia="Arial Unicode MS" w:hAnsi="Tunga" w:cs="Tunga"/>
          <w:color w:val="595959"/>
          <w:sz w:val="28"/>
          <w:szCs w:val="28"/>
          <w:lang w:val="en-IN"/>
        </w:rPr>
      </w:pPr>
      <w:r>
        <w:rPr>
          <w:rFonts w:ascii="Tunga" w:eastAsia="Arial Unicode MS" w:hAnsi="Tunga" w:cs="Tunga"/>
          <w:noProof/>
          <w:color w:val="595959"/>
          <w:sz w:val="28"/>
          <w:szCs w:val="28"/>
        </w:rPr>
        <w:pict>
          <v:shape id="_x0000_s1030" type="#_x0000_t32" style="position:absolute;left:0;text-align:left;margin-left:85.35pt;margin-top:2.85pt;width:0;height:33.75pt;z-index:251664384" o:connectortype="straight" strokeweight="3pt">
            <v:stroke endarrow="block"/>
          </v:shape>
        </w:pic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ಯೋಜನೆಗಳಡಿ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ಅನುಷ್ಠಾನಗೊಳಿಸಲಾಗುತ್ತಿರುವ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ವಿವಿಧ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ಕಾರ್ಯಕ್ರಮಗಳಿಗೆ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ಅನುದಾನ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ಹಂಚಿಕೆ</w:t>
      </w:r>
      <w:proofErr w:type="spellEnd"/>
    </w:p>
    <w:p w:rsidR="00781270" w:rsidRPr="00A7309B" w:rsidRDefault="00781270" w:rsidP="00FD0E40">
      <w:pPr>
        <w:spacing w:before="140" w:after="140" w:line="340" w:lineRule="atLeast"/>
        <w:jc w:val="both"/>
        <w:rPr>
          <w:rFonts w:ascii="Tunga" w:eastAsia="Arial Unicode MS" w:hAnsi="Tunga" w:cs="Tunga"/>
          <w:color w:val="595959"/>
          <w:sz w:val="28"/>
          <w:szCs w:val="28"/>
        </w:rPr>
      </w:pPr>
    </w:p>
    <w:p w:rsidR="00781270" w:rsidRPr="00A7309B" w:rsidRDefault="00781270" w:rsidP="00FD0E40">
      <w:pPr>
        <w:pStyle w:val="ListParagraph"/>
        <w:spacing w:before="140" w:beforeAutospacing="0" w:after="140" w:afterAutospacing="0" w:line="340" w:lineRule="atLeast"/>
        <w:rPr>
          <w:rFonts w:ascii="Tunga" w:eastAsia="Arial Unicode MS" w:hAnsi="Tunga" w:cs="Tunga"/>
          <w:color w:val="595959"/>
          <w:sz w:val="28"/>
          <w:szCs w:val="28"/>
          <w:lang w:val="en-IN"/>
        </w:rPr>
      </w:pPr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ಉ)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ವಿಷಯ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ನಿರ್ವಾಹಕರು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   </w:t>
      </w:r>
    </w:p>
    <w:p w:rsidR="00781270" w:rsidRPr="00A7309B" w:rsidRDefault="00384A43" w:rsidP="00FD0E40">
      <w:pPr>
        <w:pStyle w:val="ListParagraph"/>
        <w:numPr>
          <w:ilvl w:val="0"/>
          <w:numId w:val="2"/>
        </w:numPr>
        <w:spacing w:before="140" w:beforeAutospacing="0" w:after="140" w:afterAutospacing="0" w:line="340" w:lineRule="atLeast"/>
        <w:ind w:right="0"/>
        <w:rPr>
          <w:rFonts w:ascii="Tunga" w:eastAsia="Arial Unicode MS" w:hAnsi="Tunga" w:cs="Tunga"/>
          <w:color w:val="595959"/>
          <w:sz w:val="28"/>
          <w:szCs w:val="28"/>
          <w:lang w:val="en-IN"/>
        </w:rPr>
      </w:pPr>
      <w:r>
        <w:rPr>
          <w:rFonts w:ascii="Tunga" w:eastAsia="Arial Unicode MS" w:hAnsi="Tunga" w:cs="Tunga"/>
          <w:noProof/>
          <w:color w:val="595959"/>
          <w:sz w:val="28"/>
          <w:szCs w:val="28"/>
        </w:rPr>
        <w:pict>
          <v:shape id="_x0000_s1029" type="#_x0000_t32" style="position:absolute;left:0;text-align:left;margin-left:86.1pt;margin-top:3.2pt;width:.75pt;height:56.25pt;z-index:251663360" o:connectortype="straight" strokeweight="3pt">
            <v:stroke endarrow="block"/>
          </v:shape>
        </w:pic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ಕೆ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ಪಿ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ಐ(KPI)-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ಆರ್ಥಿಕ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ಗುರಿಯನ್ನು</w:t>
      </w:r>
      <w:proofErr w:type="spellEnd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="00781270"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ಅಳವಡಿಸುವುದು</w:t>
      </w:r>
      <w:proofErr w:type="spellEnd"/>
    </w:p>
    <w:p w:rsidR="00781270" w:rsidRPr="00A7309B" w:rsidRDefault="00781270" w:rsidP="00FD0E40">
      <w:pPr>
        <w:pStyle w:val="ListParagraph"/>
        <w:numPr>
          <w:ilvl w:val="0"/>
          <w:numId w:val="2"/>
        </w:numPr>
        <w:spacing w:before="140" w:beforeAutospacing="0" w:after="140" w:afterAutospacing="0" w:line="340" w:lineRule="atLeast"/>
        <w:ind w:right="0"/>
        <w:rPr>
          <w:rFonts w:ascii="Tunga" w:eastAsia="Arial Unicode MS" w:hAnsi="Tunga" w:cs="Tunga"/>
          <w:color w:val="595959"/>
          <w:sz w:val="28"/>
          <w:szCs w:val="28"/>
          <w:lang w:val="en-IN"/>
        </w:rPr>
      </w:pP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ಕೆ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ಪಿ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ಐ(KPI)-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ಭೌತಿಕ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ಗುರಿಯನ್ನು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ಅಳವಡಿಸುವುದು</w:t>
      </w:r>
      <w:proofErr w:type="spellEnd"/>
    </w:p>
    <w:p w:rsidR="00781270" w:rsidRPr="00A7309B" w:rsidRDefault="00781270" w:rsidP="00FD0E40">
      <w:pPr>
        <w:pStyle w:val="ListParagraph"/>
        <w:numPr>
          <w:ilvl w:val="0"/>
          <w:numId w:val="2"/>
        </w:numPr>
        <w:spacing w:before="140" w:beforeAutospacing="0" w:after="140" w:afterAutospacing="0" w:line="340" w:lineRule="atLeast"/>
        <w:ind w:right="0"/>
        <w:rPr>
          <w:rFonts w:ascii="Tunga" w:eastAsia="Arial Unicode MS" w:hAnsi="Tunga" w:cs="Tunga"/>
          <w:color w:val="595959"/>
          <w:sz w:val="28"/>
          <w:szCs w:val="28"/>
          <w:lang w:val="en-IN"/>
        </w:rPr>
      </w:pP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ಕೆ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ಪಿ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ಐ(KPI)-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ಭೌತಿಕ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ಸಾಧನೆಯನ್ನು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ಅಳವಡಿಸುವುದು</w:t>
      </w:r>
      <w:proofErr w:type="spellEnd"/>
    </w:p>
    <w:p w:rsidR="00781270" w:rsidRPr="00A7309B" w:rsidRDefault="00781270" w:rsidP="00FD0E40">
      <w:pPr>
        <w:pStyle w:val="ListParagraph"/>
        <w:spacing w:before="140" w:beforeAutospacing="0" w:after="140" w:afterAutospacing="0" w:line="340" w:lineRule="atLeast"/>
        <w:rPr>
          <w:rFonts w:ascii="Tunga" w:eastAsia="Arial Unicode MS" w:hAnsi="Tunga" w:cs="Tunga"/>
          <w:color w:val="595959"/>
          <w:sz w:val="28"/>
          <w:szCs w:val="28"/>
          <w:lang w:val="en-IN"/>
        </w:rPr>
      </w:pPr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ಊ)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ತಾಲ್ಲೂಕು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/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ಜಿಲ್ಲಾ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ತರಬೇತಿ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ಕೇಂದ್ರಗಳ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ಡಿ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ಡಿ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ಓ                  </w:t>
      </w:r>
    </w:p>
    <w:p w:rsidR="00781270" w:rsidRPr="00A7309B" w:rsidRDefault="00781270" w:rsidP="00FD0E40">
      <w:pPr>
        <w:pStyle w:val="ListParagraph"/>
        <w:numPr>
          <w:ilvl w:val="0"/>
          <w:numId w:val="2"/>
        </w:numPr>
        <w:spacing w:before="140" w:beforeAutospacing="0" w:after="140" w:afterAutospacing="0" w:line="340" w:lineRule="atLeast"/>
        <w:ind w:right="0"/>
        <w:rPr>
          <w:rFonts w:ascii="Tunga" w:eastAsia="Arial Unicode MS" w:hAnsi="Tunga" w:cs="Tunga"/>
          <w:color w:val="595959"/>
          <w:sz w:val="28"/>
          <w:szCs w:val="28"/>
          <w:lang w:val="en-IN"/>
        </w:rPr>
      </w:pP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ಕೆ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ಪಿ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ಐ(KPI)-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ಗುರಿಗಳ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ಅನುಮೋದನೆ</w:t>
      </w:r>
      <w:proofErr w:type="spellEnd"/>
    </w:p>
    <w:p w:rsidR="00781270" w:rsidRPr="00A7309B" w:rsidRDefault="00781270" w:rsidP="00FD0E40">
      <w:pPr>
        <w:pStyle w:val="ListParagraph"/>
        <w:numPr>
          <w:ilvl w:val="0"/>
          <w:numId w:val="2"/>
        </w:numPr>
        <w:spacing w:before="140" w:beforeAutospacing="0" w:after="140" w:afterAutospacing="0" w:line="340" w:lineRule="atLeast"/>
        <w:ind w:right="0"/>
        <w:rPr>
          <w:rFonts w:ascii="Tunga" w:eastAsia="Arial Unicode MS" w:hAnsi="Tunga" w:cs="Tunga"/>
          <w:color w:val="595959"/>
          <w:sz w:val="28"/>
          <w:szCs w:val="28"/>
          <w:lang w:val="en-IN"/>
        </w:rPr>
      </w:pP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ಕೆ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ಪಿ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ಐ(KPI)-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ಸಾಧನೆಗಳ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ಅನುಮೋದನೆ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                       </w:t>
      </w:r>
    </w:p>
    <w:p w:rsidR="00781270" w:rsidRPr="00A7309B" w:rsidRDefault="00781270" w:rsidP="00FD0E40">
      <w:pPr>
        <w:spacing w:before="140" w:after="140" w:line="340" w:lineRule="atLeast"/>
        <w:jc w:val="both"/>
        <w:rPr>
          <w:rFonts w:ascii="Tunga" w:eastAsia="Arial Unicode MS" w:hAnsi="Tunga" w:cs="Tunga"/>
          <w:color w:val="595959"/>
          <w:sz w:val="28"/>
          <w:szCs w:val="28"/>
        </w:rPr>
      </w:pP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                            </w:t>
      </w:r>
    </w:p>
    <w:p w:rsidR="00781270" w:rsidRPr="00A7309B" w:rsidRDefault="00781270" w:rsidP="00FD0E40">
      <w:pPr>
        <w:pStyle w:val="ListParagraph"/>
        <w:numPr>
          <w:ilvl w:val="0"/>
          <w:numId w:val="1"/>
        </w:numPr>
        <w:spacing w:before="140" w:beforeAutospacing="0" w:after="140" w:afterAutospacing="0" w:line="340" w:lineRule="atLeast"/>
        <w:ind w:right="0"/>
        <w:rPr>
          <w:rFonts w:ascii="Tunga" w:eastAsia="Arial Unicode MS" w:hAnsi="Tunga" w:cs="Tunga"/>
          <w:color w:val="595959"/>
          <w:sz w:val="28"/>
          <w:szCs w:val="28"/>
          <w:lang w:val="en-IN"/>
        </w:rPr>
      </w:pP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ಪ್ರತಿ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ಡಿ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ಡಿ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ಓ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ಹಂತದಲ್ಲಿ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ಎರಡು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ಲಾಗಿನ್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-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ಡಿ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ಡಿ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ಓ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ಮತ್ತು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ವಿಷಯ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ನಿರ್ವಾಹಕರು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. </w:t>
      </w:r>
    </w:p>
    <w:p w:rsidR="00781270" w:rsidRPr="00A7309B" w:rsidRDefault="00781270" w:rsidP="00FD0E40">
      <w:pPr>
        <w:pStyle w:val="ListParagraph"/>
        <w:numPr>
          <w:ilvl w:val="0"/>
          <w:numId w:val="1"/>
        </w:numPr>
        <w:spacing w:before="140" w:beforeAutospacing="0" w:after="140" w:afterAutospacing="0" w:line="340" w:lineRule="atLeast"/>
        <w:ind w:right="0"/>
        <w:rPr>
          <w:rFonts w:ascii="Tunga" w:eastAsia="Arial Unicode MS" w:hAnsi="Tunga" w:cs="Tunga"/>
          <w:color w:val="595959"/>
          <w:sz w:val="28"/>
          <w:szCs w:val="28"/>
          <w:lang w:val="en-IN"/>
        </w:rPr>
      </w:pP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ಡಿ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ಡಿ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ಓ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ಕರ್ತವ್ಯಗಳು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-</w:t>
      </w:r>
    </w:p>
    <w:p w:rsidR="00781270" w:rsidRPr="00A7309B" w:rsidRDefault="00781270" w:rsidP="00FD0E40">
      <w:pPr>
        <w:pStyle w:val="ListParagraph"/>
        <w:spacing w:before="140" w:beforeAutospacing="0" w:after="140" w:afterAutospacing="0" w:line="340" w:lineRule="atLeast"/>
        <w:rPr>
          <w:rFonts w:ascii="Tunga" w:eastAsia="Arial Unicode MS" w:hAnsi="Tunga" w:cs="Tunga"/>
          <w:color w:val="595959"/>
          <w:sz w:val="28"/>
          <w:szCs w:val="28"/>
          <w:lang w:val="en-IN"/>
        </w:rPr>
      </w:pPr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ಅ.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ನೂತನ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ಡಿ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ಎಸ್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ಎಸ್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ತಂತ್ರಾಂಶದಲ್ಲಿ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ಕಾರ್ಯಕ್ರಮ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/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ಯೋಜನಾವಾರು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ಅನುದಾನದ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ಹಂಚಿಕೆ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.</w:t>
      </w:r>
    </w:p>
    <w:p w:rsidR="00781270" w:rsidRPr="00A7309B" w:rsidRDefault="00781270" w:rsidP="00FD0E40">
      <w:pPr>
        <w:pStyle w:val="ListParagraph"/>
        <w:spacing w:before="140" w:beforeAutospacing="0" w:after="140" w:afterAutospacing="0" w:line="340" w:lineRule="atLeast"/>
        <w:rPr>
          <w:rFonts w:ascii="Tunga" w:eastAsia="Arial Unicode MS" w:hAnsi="Tunga" w:cs="Tunga"/>
          <w:color w:val="595959"/>
          <w:sz w:val="28"/>
          <w:szCs w:val="28"/>
          <w:lang w:val="en-IN"/>
        </w:rPr>
      </w:pPr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ಆ.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ಕಾರ್ಯಕ್ರಮ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/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ಯೋಜನಾವಾರು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ಆರ್ಥಿಕ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ಮತ್ತು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ಭೌತಿಕ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ಗುರಿಗಳ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ಅನುಮೋದನೆ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.</w:t>
      </w:r>
    </w:p>
    <w:p w:rsidR="00781270" w:rsidRPr="00A7309B" w:rsidRDefault="00781270" w:rsidP="00FD0E40">
      <w:pPr>
        <w:pStyle w:val="ListParagraph"/>
        <w:numPr>
          <w:ilvl w:val="0"/>
          <w:numId w:val="1"/>
        </w:numPr>
        <w:spacing w:before="140" w:beforeAutospacing="0" w:after="140" w:afterAutospacing="0" w:line="340" w:lineRule="atLeast"/>
        <w:ind w:right="0"/>
        <w:rPr>
          <w:rFonts w:ascii="Tunga" w:eastAsia="Arial Unicode MS" w:hAnsi="Tunga" w:cs="Tunga"/>
          <w:color w:val="595959"/>
          <w:sz w:val="28"/>
          <w:szCs w:val="28"/>
          <w:lang w:val="en-IN"/>
        </w:rPr>
      </w:pP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ವಿಷಯ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ನಿರ್ವಾಹಕರ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ಕರ್ತವ್ಯಗಳು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-</w:t>
      </w:r>
    </w:p>
    <w:p w:rsidR="00781270" w:rsidRPr="00A7309B" w:rsidRDefault="00781270" w:rsidP="00FD0E40">
      <w:pPr>
        <w:pStyle w:val="ListParagraph"/>
        <w:spacing w:before="140" w:beforeAutospacing="0" w:after="140" w:afterAutospacing="0" w:line="340" w:lineRule="atLeast"/>
        <w:rPr>
          <w:rFonts w:ascii="Tunga" w:eastAsia="Arial Unicode MS" w:hAnsi="Tunga" w:cs="Tunga"/>
          <w:color w:val="595959"/>
          <w:sz w:val="28"/>
          <w:szCs w:val="28"/>
          <w:lang w:val="en-IN"/>
        </w:rPr>
      </w:pPr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lastRenderedPageBreak/>
        <w:t xml:space="preserve">ಅ.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ಕಾರ್ಯಕ್ರಮ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/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ಯೋಜನೆಗಳಡಿ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ಮಾಹೆವಾರು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ಆರ್ಥಿಕ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ಮತ್ತು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ಭೌತಿಕ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ಗುರಿಗಳನ್ನು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 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ನಿಗದಿಪಡಿಸುವುದು</w:t>
      </w:r>
      <w:proofErr w:type="spellEnd"/>
    </w:p>
    <w:p w:rsidR="00781270" w:rsidRPr="00A7309B" w:rsidRDefault="00781270" w:rsidP="00FD0E40">
      <w:pPr>
        <w:pStyle w:val="ListParagraph"/>
        <w:spacing w:before="140" w:beforeAutospacing="0" w:after="140" w:afterAutospacing="0" w:line="340" w:lineRule="atLeast"/>
        <w:rPr>
          <w:rFonts w:ascii="Tunga" w:eastAsia="Arial Unicode MS" w:hAnsi="Tunga" w:cs="Tunga"/>
          <w:color w:val="595959"/>
          <w:sz w:val="28"/>
          <w:szCs w:val="28"/>
          <w:lang w:val="en-IN"/>
        </w:rPr>
      </w:pPr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ಆ.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ಯೋಜನಾವಾರು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ಕಾರ್ಯಕ್ರಮಗಳು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ಇದ್ದಲ್ಲಿ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ಪ್ರಗತಿಯನ್ನು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ತಂತ್ರಾಂಶದಲ್ಲಿ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   </w:t>
      </w:r>
    </w:p>
    <w:p w:rsidR="00781270" w:rsidRPr="00A7309B" w:rsidRDefault="00781270" w:rsidP="00FD0E40">
      <w:pPr>
        <w:pStyle w:val="ListParagraph"/>
        <w:spacing w:before="140" w:beforeAutospacing="0" w:after="140" w:afterAutospacing="0" w:line="340" w:lineRule="atLeast"/>
        <w:rPr>
          <w:rFonts w:ascii="Tunga" w:eastAsia="Arial Unicode MS" w:hAnsi="Tunga" w:cs="Tunga"/>
          <w:color w:val="595959"/>
          <w:sz w:val="28"/>
          <w:szCs w:val="28"/>
          <w:lang w:val="en-IN"/>
        </w:rPr>
      </w:pPr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     </w:t>
      </w:r>
      <w:proofErr w:type="spellStart"/>
      <w:proofErr w:type="gram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ಅಳವಡಿಸುವುದು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.</w:t>
      </w:r>
      <w:proofErr w:type="gramEnd"/>
    </w:p>
    <w:p w:rsidR="00781270" w:rsidRPr="00A7309B" w:rsidRDefault="00781270" w:rsidP="00FD0E40">
      <w:pPr>
        <w:pStyle w:val="ListParagraph"/>
        <w:spacing w:before="140" w:beforeAutospacing="0" w:after="140" w:afterAutospacing="0" w:line="340" w:lineRule="atLeast"/>
        <w:rPr>
          <w:rFonts w:ascii="Tunga" w:eastAsia="Arial Unicode MS" w:hAnsi="Tunga" w:cs="Tunga"/>
          <w:color w:val="595959"/>
          <w:sz w:val="28"/>
          <w:szCs w:val="28"/>
          <w:lang w:val="en-IN"/>
        </w:rPr>
      </w:pPr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ಇ.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ಪ್ರತಿ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ಮಾಹೆಯ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ಅಂತ್ಯಕ್ಕೆ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ಯೋಜನಾವಾರು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/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ಕಾರ್ಯಕ್ರಮವಾರು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ಭೌತಿಕ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ಪ್ರಗತಿಯನ್ನ</w:t>
      </w:r>
      <w:proofErr w:type="gram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ಕಡ</w:t>
      </w:r>
      <w:proofErr w:type="gram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್ಡಾಯವಾಗಿ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ತಂತ್ರಾಂಶದಲ್ಲಿ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ನಮೂದಿಸುವುದು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val="en-IN"/>
        </w:rPr>
        <w:t>.</w:t>
      </w:r>
    </w:p>
    <w:p w:rsidR="00781270" w:rsidRPr="00A7309B" w:rsidRDefault="00781270" w:rsidP="00FD0E40">
      <w:pPr>
        <w:spacing w:before="140" w:after="140" w:line="340" w:lineRule="atLeast"/>
        <w:ind w:left="450"/>
        <w:jc w:val="both"/>
        <w:rPr>
          <w:rFonts w:ascii="Tunga" w:hAnsi="Tunga" w:cs="Tunga"/>
          <w:b/>
          <w:color w:val="595959"/>
          <w:sz w:val="28"/>
          <w:szCs w:val="28"/>
        </w:rPr>
      </w:pPr>
      <w:proofErr w:type="spellStart"/>
      <w:r w:rsidRPr="00A7309B">
        <w:rPr>
          <w:rFonts w:ascii="Tunga" w:hAnsi="Tunga" w:cs="Tunga"/>
          <w:b/>
          <w:color w:val="595959"/>
          <w:sz w:val="28"/>
          <w:szCs w:val="28"/>
        </w:rPr>
        <w:t>ಪರಿಶಿಷ್ಟ</w:t>
      </w:r>
      <w:proofErr w:type="spellEnd"/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 w:val="28"/>
          <w:szCs w:val="28"/>
        </w:rPr>
        <w:t>ಜಾತಿ</w:t>
      </w:r>
      <w:proofErr w:type="spellEnd"/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 w:val="28"/>
          <w:szCs w:val="28"/>
        </w:rPr>
        <w:t>ಉಪ</w:t>
      </w:r>
      <w:proofErr w:type="spellEnd"/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 w:val="28"/>
          <w:szCs w:val="28"/>
        </w:rPr>
        <w:t>ಯೋಜನೆ</w:t>
      </w:r>
      <w:proofErr w:type="spellEnd"/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 w:val="28"/>
          <w:szCs w:val="28"/>
        </w:rPr>
        <w:t>ಹಾಗೂ</w:t>
      </w:r>
      <w:proofErr w:type="spellEnd"/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 w:val="28"/>
          <w:szCs w:val="28"/>
        </w:rPr>
        <w:t>ಗಿರಿಜನ</w:t>
      </w:r>
      <w:proofErr w:type="spellEnd"/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 w:val="28"/>
          <w:szCs w:val="28"/>
        </w:rPr>
        <w:t>ಉಪ</w:t>
      </w:r>
      <w:proofErr w:type="spellEnd"/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 w:val="28"/>
          <w:szCs w:val="28"/>
        </w:rPr>
        <w:t>ಯೋಜನೆ</w:t>
      </w:r>
      <w:proofErr w:type="spellEnd"/>
    </w:p>
    <w:p w:rsidR="00781270" w:rsidRPr="00A7309B" w:rsidRDefault="00781270" w:rsidP="00FD0E40">
      <w:pPr>
        <w:spacing w:before="140" w:after="140" w:line="340" w:lineRule="atLeast"/>
        <w:ind w:firstLine="720"/>
        <w:jc w:val="both"/>
        <w:rPr>
          <w:rFonts w:ascii="Tunga" w:hAnsi="Tunga" w:cs="Tunga"/>
          <w:color w:val="595959"/>
          <w:sz w:val="28"/>
          <w:szCs w:val="28"/>
        </w:rPr>
      </w:pPr>
      <w:proofErr w:type="spellStart"/>
      <w:proofErr w:type="gramStart"/>
      <w:r w:rsidRPr="00A7309B">
        <w:rPr>
          <w:rFonts w:ascii="Tunga" w:hAnsi="Tunga" w:cs="Tunga"/>
          <w:color w:val="595959"/>
          <w:sz w:val="28"/>
          <w:szCs w:val="28"/>
        </w:rPr>
        <w:t>ಪರಿಶಿಷ್ಟ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ಜಾತಿ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ಉಪ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ಯೋಜನೆ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ಹಾಗೂ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ಗಿರಿಜನ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ಉಪ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ಯೋಜನೆಯಡಿ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ಫಲಾನುಭವಿಗಳ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ವಿವರಗಳನ್ನು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ಸಮಾಜ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ಕಲ್ಯಾಣ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ಇಲಾಖೆಯ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Online Portal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ನಲ್ಲಿ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ಅಪ್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ಲೋಡ್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ಮಾಡಬೇಕಾಗಿರುತ್ತದೆ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>.</w:t>
      </w:r>
      <w:proofErr w:type="gram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ಆದ್ದರಿಂದ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ಇಲಾಖೆಯ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FRUITS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ತಂತ್ರಾಂಶದಲ್ಲಿ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ಲಭ್ಯವಿರುವ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ಕೃಷಿ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ಯಾಂತ್ರೀಕರಣ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ಕೃಷಿ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ಸಂಸ್ಕರಣೆ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ಬಿತ್ತನೆ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ಬೀಜ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ಪೂರೈಕೆ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ಸೂಕ್ಷ್ಮ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ನೀರಾವರಿ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ಯೋಜನೆÉಯ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ಹಾಗು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DBTಯ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(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ಹೊಸ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ಬೆಳೆ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ವಿಮಾ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ಯೋಜನೆ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ಪ್ರಧಾನ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ಮಂತ್ರಿ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ಕಿಸಾನ್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ಸಮ್ಮಾನ್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ಯೋಜನೆ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ರಾಷ್ಟ್ರೀಯ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ಆಹಾರ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ಸುರಕ್ಷತೆ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ಮಿಷನ್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ರೈತ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ಸಿರಿ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)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ಫಲಾನುಭವಿಗಳ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ಮಾಹಿತಿಯನ್ನು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ಸಮಾಜ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ಕಲ್ಯಾಣ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ಇಲಾಖೆಯ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ಜಾಲತಾಣಕ್ಕೆ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WEB SERVICE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ಮೂಲಕ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ಲಿಂಕ್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ಮಾಡಲಾಗಿರುತ್ತದೆ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.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ಆದರೆ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ಉಳಿದ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ಫಲಾನುಭವಿ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ಆಧಾರಿ</w:t>
      </w:r>
      <w:proofErr w:type="gramStart"/>
      <w:r w:rsidRPr="00A7309B">
        <w:rPr>
          <w:rFonts w:ascii="Tunga" w:hAnsi="Tunga" w:cs="Tunga"/>
          <w:color w:val="595959"/>
          <w:sz w:val="28"/>
          <w:szCs w:val="28"/>
        </w:rPr>
        <w:t>ತ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ಯ</w:t>
      </w:r>
      <w:proofErr w:type="gramEnd"/>
      <w:r w:rsidRPr="00A7309B">
        <w:rPr>
          <w:rFonts w:ascii="Tunga" w:hAnsi="Tunga" w:cs="Tunga"/>
          <w:color w:val="595959"/>
          <w:sz w:val="28"/>
          <w:szCs w:val="28"/>
        </w:rPr>
        <w:t>ೋಜನೆಗಳ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ಫಲಾನುಭವಿಗಳ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ವಿವರಗಳನ್ನು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ಸಮಾಜ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ಕಲ್ಯಾಣ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ಇಲಾಖೆಯ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Online Portal </w:t>
      </w:r>
      <w:r w:rsidRPr="00A7309B">
        <w:rPr>
          <w:rFonts w:ascii="Tunga" w:hAnsi="Tunga" w:cs="Tunga"/>
          <w:b/>
          <w:color w:val="595959"/>
          <w:sz w:val="28"/>
          <w:szCs w:val="28"/>
        </w:rPr>
        <w:t>(</w:t>
      </w:r>
      <w:hyperlink r:id="rId6" w:history="1">
        <w:r w:rsidRPr="00A7309B">
          <w:rPr>
            <w:rStyle w:val="Hyperlink"/>
            <w:rFonts w:ascii="Tunga" w:hAnsi="Tunga" w:cs="Tunga"/>
            <w:b/>
            <w:color w:val="595959"/>
            <w:sz w:val="28"/>
            <w:szCs w:val="28"/>
          </w:rPr>
          <w:t>https://sw.kar.nic.in/swscsp/</w:t>
        </w:r>
      </w:hyperlink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SCSPTSPBEN/scsplogin.aspx)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ನಲ್ಲಿ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ಕಡ್ಡಾಯವಾಗಿ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ಪ್ರತಿ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ಮಾಹೆಯ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ದಿನಾಂಕ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5ರೊಳಗೆ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ಇಂದೀಕರಿಸುವುದು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>.</w:t>
      </w:r>
    </w:p>
    <w:p w:rsidR="00781270" w:rsidRPr="00A7309B" w:rsidRDefault="00781270" w:rsidP="00FD0E40">
      <w:pPr>
        <w:spacing w:before="140" w:after="140" w:line="340" w:lineRule="atLeast"/>
        <w:ind w:left="720" w:firstLine="720"/>
        <w:jc w:val="both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</w:rPr>
        <w:t xml:space="preserve">2022-23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ನೇ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ಸಾಲಿನ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ಅಲ್ಪ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ಸಂಖ್ಯಾ</w:t>
      </w:r>
      <w:proofErr w:type="gramStart"/>
      <w:r w:rsidRPr="00A7309B">
        <w:rPr>
          <w:rFonts w:ascii="Tunga" w:hAnsi="Tunga" w:cs="Tunga"/>
          <w:color w:val="595959"/>
          <w:sz w:val="28"/>
          <w:szCs w:val="28"/>
        </w:rPr>
        <w:t>ತರ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>(</w:t>
      </w:r>
      <w:proofErr w:type="gramEnd"/>
      <w:r w:rsidRPr="00A7309B">
        <w:rPr>
          <w:rFonts w:ascii="Tunga" w:hAnsi="Tunga" w:cs="Tunga"/>
          <w:color w:val="595959"/>
          <w:sz w:val="28"/>
          <w:szCs w:val="28"/>
        </w:rPr>
        <w:t xml:space="preserve">15%),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ವಿಕಲ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ಚೇತನರ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(5%)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ಮತ್ತು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ಮಹಿಳಾ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ಉದ್ದೇಶಿತ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(33%)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ಆಯವ್ಯಯದ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ಪ್ರಗತಿ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ವರದಿಯನ್ನು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ನಿಗದಿತ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ನಮೂನೆಯಲ್ಲಿ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ಪ್ರತಿ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ಮಾಹೆಯ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ದಿನಾಂಕ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5ರೊಳಗೆ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ಸಲ್ಲಿಸುವುದು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. </w:t>
      </w:r>
    </w:p>
    <w:p w:rsidR="00781270" w:rsidRPr="00A7309B" w:rsidRDefault="00781270" w:rsidP="00FD0E40">
      <w:pPr>
        <w:pStyle w:val="HTMLPreformatted"/>
        <w:spacing w:before="140" w:after="140" w:line="340" w:lineRule="atLeast"/>
        <w:ind w:right="0"/>
        <w:rPr>
          <w:rFonts w:ascii="Tunga" w:hAnsi="Tunga" w:cs="Tunga"/>
          <w:b/>
          <w:color w:val="595959"/>
          <w:sz w:val="28"/>
          <w:szCs w:val="28"/>
        </w:rPr>
      </w:pPr>
      <w:proofErr w:type="spellStart"/>
      <w:r w:rsidRPr="00A7309B">
        <w:rPr>
          <w:rFonts w:ascii="Tunga" w:hAnsi="Tunga" w:cs="Tunga"/>
          <w:b/>
          <w:color w:val="595959"/>
          <w:sz w:val="28"/>
          <w:szCs w:val="28"/>
        </w:rPr>
        <w:t>ಸುಸ್ಥಿರ</w:t>
      </w:r>
      <w:proofErr w:type="spellEnd"/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 w:val="28"/>
          <w:szCs w:val="28"/>
        </w:rPr>
        <w:t>ಅಭಿವೃದ್ಧಿ</w:t>
      </w:r>
      <w:proofErr w:type="spellEnd"/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 w:val="28"/>
          <w:szCs w:val="28"/>
        </w:rPr>
        <w:t>ಗುರಿಗಳು</w:t>
      </w:r>
      <w:proofErr w:type="spellEnd"/>
    </w:p>
    <w:p w:rsidR="00781270" w:rsidRPr="00A7309B" w:rsidRDefault="00781270" w:rsidP="00FD0E40">
      <w:pPr>
        <w:pStyle w:val="HTMLPreformatted"/>
        <w:spacing w:before="140" w:after="140" w:line="340" w:lineRule="atLeast"/>
        <w:ind w:right="0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</w:rPr>
        <w:tab/>
        <w:t xml:space="preserve">2022-23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ನೇ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ಸಾಲಿನ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ಸುಸ್ಥಿರ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ಅಭಿವೃದ್ಧಿ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ಗುರಿಗಳಿಗೆ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ಸಂಬಂಧಿಸಿದಂತೆ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ಸುಸ್ಥಿರ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ಅಭಿವೃದ್ಧಿ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ಗುರಿ-2ಕ್ಕೆ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ಅಂಕಿ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ಅಂಶ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ವಿಭಾಗದವರು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ಕೃಷಿ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ಬೆಳೆಗಳ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ಬಿತ್ತನೆ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ಪ್ರಗತಿಯನ್ನು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ಜಿಲ್ಲೆಗಳಿಂದ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ಪಡೆದು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ಕ್ರೂಡೀಕರಿಸಿ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ಯೋಜನಾ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ವಿಭಾಗಕ್ಕೆ</w:t>
      </w:r>
      <w:proofErr w:type="spellEnd"/>
      <w:r w:rsidRPr="00A7309B">
        <w:rPr>
          <w:rFonts w:ascii="Tunga" w:eastAsia="Arial Unicode MS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ಸಲ್ಲಿಸುವುದು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ಹಾಗು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ಸುಸ್ಥಿರ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ಅಭಿವೃದ್ಧಿ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ಗುರಿ-2ರ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ಗುರಿ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ಸಾಧಿಸಲು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ಪೂರಕ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ಯೋಜನೆಗಳಾದ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-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ಬೀಜಗಳ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ಪೂರೈಕೆ</w:t>
      </w:r>
      <w:proofErr w:type="spellEnd"/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ಮಣ್ಣಿನ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ಸತ್ವ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lastRenderedPageBreak/>
        <w:t>ಹೆಚ್ಚಿಸುವಿಕೆ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ಸಸ್ಯ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ಸಂರಕ್ಷಣೆ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ಕೃಷಿ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ಯಾಂತ್ರೀಕರಣ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&amp;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ಸಂಸ್ಕರಣೆ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ಸಾವಯವ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ಕೃಷಿ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ಕೃಷಿ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ವಿಸ್ತರಣೆ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ಮತ್ತು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ತರಬೇತಿ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ರಾಷ್ಟ್ರೀಯ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ಆಹಾರ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ಸುರಕ್ಷತೆ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ಮಿಷನ್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ಮುಖ್ಯಮಂತ್ರಿಗಳ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ಸೂಕ್ಷ್ಮ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ನೀರಾವರಿ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ಯೋಜನೆ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ಕೃಷಿ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ವಿಸ್ತರಣೆ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ಉಪ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ಅಭಿಯಾನ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ಕೃಷಿ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ಯಾಂತ್ರೀಕರಣ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ಉಪ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ಅಭಿಯಾನ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ಮಣ್ಣಿನ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ಫಲವತ್ತತೆಯ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ಯೋಜನೆಯ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ಪ್ರಗತಿ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ವರದಿಯನ್ನು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>(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ಮಾಸಿಕ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ಪ್ರಗತಿ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ವರದಿ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ನಮೂನೆಯಲ್ಲಿ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)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ಸಲ್ಲಿಸುವುದು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>.</w:t>
      </w:r>
    </w:p>
    <w:p w:rsidR="00781270" w:rsidRPr="00A7309B" w:rsidRDefault="00781270" w:rsidP="00FD0E40">
      <w:pPr>
        <w:pStyle w:val="HTMLPreformatted"/>
        <w:spacing w:before="140" w:after="140" w:line="340" w:lineRule="atLeast"/>
        <w:ind w:right="0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</w:rPr>
        <w:tab/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ಸುಸ್ಥಿರ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ಅಭಿವೃದ್ಧಿ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ಗುರಿ-12ಕ್ಕೆ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ರಸಗೊಬ್ಬರ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ವಿಭಾಗದವರು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ಒಟ್ಟು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N</w:t>
      </w:r>
      <w:proofErr w:type="gramStart"/>
      <w:r w:rsidRPr="00A7309B">
        <w:rPr>
          <w:rFonts w:ascii="Tunga" w:hAnsi="Tunga" w:cs="Tunga"/>
          <w:color w:val="595959"/>
          <w:sz w:val="28"/>
          <w:szCs w:val="28"/>
        </w:rPr>
        <w:t>,P,K</w:t>
      </w:r>
      <w:proofErr w:type="gram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ಯಿಂದ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ಸಾರಜನಕ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ಗೊಬ್ಬರದ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ಬಳಕೆಯನ್ನು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ಜಿಲ್ಲೆಗಳಿಂದ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ಪಡೆದು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ಕ್ರೂಡೀಕರಿಸಿ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ಯೋಜನಾ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ವಿಭಾಗಕ್ಕೆ</w:t>
      </w:r>
      <w:proofErr w:type="spellEnd"/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ಸಲ್ಲಿಸುವುದು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ಹಾಗು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ಸುಸ್ಥಿರ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ಅಭಿವೃದ್ಧಿ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ಗುರಿ-14ಕ್ಕೆ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ಕರಾವಳಿ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ಪ್ರದೇಶದ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ಜಿಲ್ಲೆಗಳಲ್ಲಿ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ಸಾರಜನಕ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ಗೊಬ್ಬರಗಳ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ಬಳಕೆಯ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ವಿವರವನ್ನು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ಸಂಬಂಧಪಟ್ಟ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ಜಿಲ್ಲೆಗಳಿಂದ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ಪಡೆದು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ಕ್ರೂಡೀಕರಿಸಿ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ಯೋಜನಾ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ವಿಭಾಗಕ್ಕೆ</w:t>
      </w:r>
      <w:proofErr w:type="spellEnd"/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ಸಲ್ಲಿಸುವುದು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>.</w:t>
      </w:r>
    </w:p>
    <w:p w:rsidR="00781270" w:rsidRPr="00A7309B" w:rsidRDefault="00781270" w:rsidP="00FD0E40">
      <w:pPr>
        <w:pStyle w:val="HTMLPreformatted"/>
        <w:spacing w:before="140" w:after="140" w:line="340" w:lineRule="atLeast"/>
        <w:ind w:right="0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</w:rPr>
        <w:tab/>
        <w:t xml:space="preserve">2022-23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ನೇ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ಸಾಲಿನ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ಸುಸ್ಥಿರ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ಅಭಿವೃದ್ಧಿ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ಗುರಿಗಳ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ಮಹತ್ವಾಕಾಂಕ್ಷಿ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ಜಿಲ್ಲೆಗಳಾದ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ಯಾದಗಿರಿ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ಮತ್ತು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ರಾಯಚೂರು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ರವರು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="00384A43" w:rsidRPr="00384A43">
        <w:rPr>
          <w:rFonts w:ascii="Tunga" w:hAnsi="Tunga" w:cs="Tunga"/>
          <w:color w:val="595959"/>
          <w:sz w:val="28"/>
          <w:szCs w:val="28"/>
        </w:rPr>
        <w:fldChar w:fldCharType="begin"/>
      </w:r>
      <w:r w:rsidRPr="00A7309B">
        <w:rPr>
          <w:rFonts w:ascii="Tunga" w:hAnsi="Tunga" w:cs="Tunga"/>
          <w:color w:val="595959"/>
          <w:sz w:val="28"/>
          <w:szCs w:val="28"/>
        </w:rPr>
        <w:instrText xml:space="preserve"> HYPERLINK "http://championsofchange.gov.in/site/coc-home/" </w:instrText>
      </w:r>
      <w:r w:rsidR="00384A43" w:rsidRPr="00384A43">
        <w:rPr>
          <w:rFonts w:ascii="Tunga" w:hAnsi="Tunga" w:cs="Tunga"/>
          <w:color w:val="595959"/>
          <w:sz w:val="28"/>
          <w:szCs w:val="28"/>
        </w:rPr>
        <w:fldChar w:fldCharType="separate"/>
      </w:r>
      <w:r w:rsidRPr="00A7309B">
        <w:rPr>
          <w:rFonts w:ascii="Tunga" w:hAnsi="Tunga" w:cs="Tunga"/>
          <w:color w:val="595959"/>
          <w:sz w:val="28"/>
          <w:szCs w:val="28"/>
          <w:shd w:val="clear" w:color="auto" w:fill="FFFFFF"/>
        </w:rPr>
        <w:t xml:space="preserve">Champions of Change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shd w:val="clear" w:color="auto" w:fill="FFFFFF"/>
        </w:rPr>
        <w:t>Dashboard</w:t>
      </w:r>
      <w:r w:rsidRPr="00A7309B">
        <w:rPr>
          <w:rFonts w:ascii="Tunga" w:hAnsi="Tunga" w:cs="Tunga"/>
          <w:color w:val="595959"/>
          <w:sz w:val="28"/>
          <w:szCs w:val="28"/>
        </w:rPr>
        <w:t>ನಲ್ಲಿ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ಕಡ್ಡಾಯವಾಗಿ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ಪ್ರತಿ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ಮಾಹೆಯ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ದಿನಾಂಕ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5ರೊಳಗೆ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ಮಾಹಿತಿಯನ್ನು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ಇಂದೀಕರಿಸಿ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ಕೇಂದ್ರ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ಕಚೇರಿಯ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ಯೋಜನಾ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ವಿಭಾಗಕ್ಕೆ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ಪ್ರತಿಯನ್ನು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ಸಲ್ಲಿಸುವುದು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. </w:t>
      </w:r>
    </w:p>
    <w:p w:rsidR="00781270" w:rsidRPr="00A7309B" w:rsidRDefault="00781270" w:rsidP="00FD0E40">
      <w:pPr>
        <w:spacing w:before="140" w:after="140" w:line="340" w:lineRule="atLeast"/>
        <w:jc w:val="both"/>
        <w:rPr>
          <w:rFonts w:ascii="Tunga" w:hAnsi="Tunga" w:cs="Tunga"/>
          <w:color w:val="595959"/>
          <w:sz w:val="28"/>
          <w:szCs w:val="28"/>
          <w:shd w:val="clear" w:color="auto" w:fill="FFFFFF"/>
        </w:rPr>
      </w:pPr>
      <w:r w:rsidRPr="00A7309B">
        <w:rPr>
          <w:rFonts w:ascii="Tunga" w:hAnsi="Tunga" w:cs="Tunga"/>
          <w:color w:val="595959"/>
          <w:sz w:val="28"/>
          <w:szCs w:val="28"/>
          <w:shd w:val="clear" w:color="auto" w:fill="FFFFFF"/>
        </w:rPr>
        <w:t xml:space="preserve"> </w:t>
      </w:r>
    </w:p>
    <w:p w:rsidR="00781270" w:rsidRPr="00A7309B" w:rsidRDefault="00384A43" w:rsidP="00FD0E40">
      <w:pPr>
        <w:spacing w:before="140" w:after="140" w:line="340" w:lineRule="atLeast"/>
        <w:jc w:val="both"/>
        <w:rPr>
          <w:rFonts w:ascii="Tunga" w:hAnsi="Tunga" w:cs="Tunga"/>
          <w:color w:val="595959"/>
          <w:sz w:val="28"/>
          <w:szCs w:val="28"/>
        </w:rPr>
        <w:sectPr w:rsidR="00781270" w:rsidRPr="00A7309B" w:rsidSect="0033225B">
          <w:pgSz w:w="11909" w:h="16834" w:code="9"/>
          <w:pgMar w:top="1440" w:right="1440" w:bottom="1080" w:left="1440" w:header="720" w:footer="720" w:gutter="0"/>
          <w:cols w:space="720"/>
          <w:docGrid w:linePitch="360"/>
        </w:sectPr>
      </w:pPr>
      <w:r w:rsidRPr="00A7309B">
        <w:rPr>
          <w:rFonts w:ascii="Tunga" w:hAnsi="Tunga" w:cs="Tunga"/>
          <w:color w:val="595959"/>
          <w:sz w:val="28"/>
          <w:szCs w:val="28"/>
        </w:rPr>
        <w:fldChar w:fldCharType="end"/>
      </w:r>
    </w:p>
    <w:p w:rsidR="00781270" w:rsidRPr="00A7309B" w:rsidRDefault="00781270" w:rsidP="00FD0E40">
      <w:pPr>
        <w:spacing w:before="140" w:after="140" w:line="340" w:lineRule="atLeast"/>
        <w:ind w:left="-1440" w:right="-900"/>
        <w:jc w:val="both"/>
        <w:rPr>
          <w:rFonts w:ascii="Tunga" w:hAnsi="Tunga" w:cs="Tunga"/>
          <w:color w:val="595959"/>
          <w:sz w:val="28"/>
          <w:szCs w:val="28"/>
        </w:rPr>
        <w:sectPr w:rsidR="00781270" w:rsidRPr="00A7309B" w:rsidSect="0033225B">
          <w:pgSz w:w="11909" w:h="16834" w:code="9"/>
          <w:pgMar w:top="1440" w:right="1440" w:bottom="1080" w:left="1440" w:header="720" w:footer="720" w:gutter="0"/>
          <w:cols w:space="720"/>
          <w:docGrid w:linePitch="360"/>
        </w:sectPr>
      </w:pPr>
      <w:r>
        <w:rPr>
          <w:rFonts w:ascii="Tunga" w:hAnsi="Tunga" w:cs="Tunga"/>
          <w:noProof/>
          <w:color w:val="595959"/>
          <w:sz w:val="28"/>
          <w:szCs w:val="28"/>
        </w:rPr>
        <w:lastRenderedPageBreak/>
        <w:drawing>
          <wp:inline distT="0" distB="0" distL="0" distR="0">
            <wp:extent cx="7753350" cy="5581650"/>
            <wp:effectExtent l="0" t="1104900" r="0" b="110490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7753350" cy="558165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81270" w:rsidRPr="00A7309B" w:rsidRDefault="00781270" w:rsidP="00FD0E40">
      <w:pPr>
        <w:spacing w:before="140" w:after="140" w:line="340" w:lineRule="atLeast"/>
        <w:ind w:left="-1260"/>
        <w:jc w:val="both"/>
        <w:rPr>
          <w:rFonts w:ascii="Tunga" w:hAnsi="Tunga" w:cs="Tunga"/>
          <w:color w:val="595959"/>
          <w:sz w:val="28"/>
          <w:szCs w:val="28"/>
        </w:rPr>
        <w:sectPr w:rsidR="00781270" w:rsidRPr="00A7309B" w:rsidSect="0033225B">
          <w:pgSz w:w="11909" w:h="16834" w:code="9"/>
          <w:pgMar w:top="1440" w:right="1440" w:bottom="1080" w:left="1440" w:header="709" w:footer="709" w:gutter="0"/>
          <w:cols w:space="708"/>
          <w:docGrid w:linePitch="360"/>
        </w:sectPr>
      </w:pPr>
      <w:r>
        <w:rPr>
          <w:rFonts w:ascii="Tunga" w:hAnsi="Tunga" w:cs="Tunga"/>
          <w:noProof/>
          <w:color w:val="595959"/>
          <w:sz w:val="28"/>
          <w:szCs w:val="28"/>
        </w:rPr>
        <w:lastRenderedPageBreak/>
        <w:drawing>
          <wp:inline distT="0" distB="0" distL="0" distR="0">
            <wp:extent cx="7953375" cy="5448300"/>
            <wp:effectExtent l="0" t="1276350" r="0" b="127635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7953375" cy="54483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81270" w:rsidRPr="00A7309B" w:rsidRDefault="00781270" w:rsidP="00FD0E40">
      <w:pPr>
        <w:tabs>
          <w:tab w:val="left" w:pos="284"/>
        </w:tabs>
        <w:spacing w:before="140" w:after="140" w:line="340" w:lineRule="atLeast"/>
        <w:ind w:left="-284" w:firstLine="14"/>
        <w:jc w:val="both"/>
        <w:rPr>
          <w:rFonts w:ascii="Tunga" w:hAnsi="Tunga" w:cs="Tunga"/>
          <w:color w:val="595959"/>
          <w:sz w:val="28"/>
          <w:szCs w:val="28"/>
        </w:rPr>
      </w:pPr>
    </w:p>
    <w:p w:rsidR="00781270" w:rsidRPr="00A7309B" w:rsidRDefault="00781270" w:rsidP="00FD0E40">
      <w:pPr>
        <w:spacing w:before="140" w:after="140" w:line="340" w:lineRule="atLeast"/>
        <w:ind w:left="-990"/>
        <w:jc w:val="both"/>
        <w:rPr>
          <w:rFonts w:ascii="Tunga" w:hAnsi="Tunga" w:cs="Tunga"/>
          <w:color w:val="595959"/>
          <w:sz w:val="28"/>
          <w:szCs w:val="28"/>
        </w:rPr>
      </w:pPr>
      <w:r>
        <w:rPr>
          <w:rFonts w:ascii="Tunga" w:hAnsi="Tunga" w:cs="Tunga"/>
          <w:noProof/>
          <w:color w:val="595959"/>
          <w:sz w:val="28"/>
          <w:szCs w:val="28"/>
        </w:rPr>
        <w:drawing>
          <wp:inline distT="0" distB="0" distL="0" distR="0">
            <wp:extent cx="7439025" cy="5705475"/>
            <wp:effectExtent l="0" t="895350" r="0" b="885825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7439025" cy="570547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81270" w:rsidRPr="00A7309B" w:rsidRDefault="00781270" w:rsidP="00FD0E40">
      <w:pPr>
        <w:spacing w:before="140" w:after="140" w:line="340" w:lineRule="atLeast"/>
        <w:ind w:left="-1440"/>
        <w:jc w:val="both"/>
        <w:rPr>
          <w:rFonts w:ascii="Tunga" w:hAnsi="Tunga" w:cs="Tunga"/>
          <w:color w:val="595959"/>
          <w:sz w:val="28"/>
          <w:szCs w:val="28"/>
        </w:rPr>
      </w:pPr>
      <w:r>
        <w:rPr>
          <w:rFonts w:ascii="Tunga" w:hAnsi="Tunga" w:cs="Tunga"/>
          <w:noProof/>
          <w:color w:val="595959"/>
          <w:sz w:val="28"/>
          <w:szCs w:val="28"/>
        </w:rPr>
        <w:lastRenderedPageBreak/>
        <w:drawing>
          <wp:inline distT="0" distB="0" distL="0" distR="0">
            <wp:extent cx="7610475" cy="5705475"/>
            <wp:effectExtent l="0" t="952500" r="0" b="94297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76104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270" w:rsidRPr="00A7309B" w:rsidRDefault="00781270" w:rsidP="00FD0E40">
      <w:pPr>
        <w:spacing w:before="140" w:after="140" w:line="340" w:lineRule="atLeast"/>
        <w:jc w:val="both"/>
        <w:rPr>
          <w:rFonts w:ascii="Tunga" w:eastAsia="Arial Unicode MS" w:hAnsi="Tunga" w:cs="Tunga"/>
          <w:color w:val="595959"/>
          <w:sz w:val="28"/>
          <w:szCs w:val="28"/>
        </w:rPr>
        <w:sectPr w:rsidR="00781270" w:rsidRPr="00A7309B" w:rsidSect="0033225B">
          <w:pgSz w:w="11909" w:h="16834" w:code="9"/>
          <w:pgMar w:top="1440" w:right="1440" w:bottom="1080" w:left="1440" w:header="0" w:footer="720" w:gutter="0"/>
          <w:cols w:space="720"/>
          <w:docGrid w:linePitch="360"/>
        </w:sectPr>
      </w:pPr>
    </w:p>
    <w:p w:rsidR="00963076" w:rsidRDefault="00963076" w:rsidP="00FD0E40">
      <w:pPr>
        <w:jc w:val="both"/>
      </w:pPr>
    </w:p>
    <w:sectPr w:rsidR="00963076" w:rsidSect="00384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E1EE0"/>
    <w:multiLevelType w:val="hybridMultilevel"/>
    <w:tmpl w:val="80D4E2D4"/>
    <w:lvl w:ilvl="0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5EF63F2F"/>
    <w:multiLevelType w:val="hybridMultilevel"/>
    <w:tmpl w:val="31A85012"/>
    <w:lvl w:ilvl="0" w:tplc="933CE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1270"/>
    <w:rsid w:val="00384A43"/>
    <w:rsid w:val="00781270"/>
    <w:rsid w:val="00963076"/>
    <w:rsid w:val="00FD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29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,L"/>
    <w:basedOn w:val="Normal"/>
    <w:link w:val="ListParagraphChar"/>
    <w:qFormat/>
    <w:rsid w:val="00781270"/>
    <w:pPr>
      <w:spacing w:before="100" w:beforeAutospacing="1" w:after="0" w:afterAutospacing="1" w:line="240" w:lineRule="auto"/>
      <w:ind w:left="720" w:right="-101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,L Char"/>
    <w:link w:val="ListParagraph"/>
    <w:qFormat/>
    <w:locked/>
    <w:rsid w:val="00781270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127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81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-101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127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w.kar.nic.in/swscsp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valokana.karnataka.gov.in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2022-07-07T05:30:00Z</dcterms:created>
  <dcterms:modified xsi:type="dcterms:W3CDTF">2022-07-07T09:33:00Z</dcterms:modified>
</cp:coreProperties>
</file>